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w:t>
      </w:r>
      <w:r w:rsidR="00ED4943">
        <w:rPr>
          <w:spacing w:val="-11"/>
          <w14:shadow w14:blurRad="50800" w14:dist="38100" w14:dir="2700000" w14:sx="100000" w14:sy="100000" w14:kx="0" w14:ky="0" w14:algn="tl">
            <w14:srgbClr w14:val="000000">
              <w14:alpha w14:val="60000"/>
            </w14:srgbClr>
          </w14:shadow>
        </w:rPr>
        <w:t>0</w:t>
      </w:r>
      <w:r w:rsidR="00360A70">
        <w:rPr>
          <w:spacing w:val="-11"/>
          <w14:shadow w14:blurRad="50800" w14:dist="38100" w14:dir="2700000" w14:sx="100000" w14:sy="100000" w14:kx="0" w14:ky="0" w14:algn="tl">
            <w14:srgbClr w14:val="000000">
              <w14:alpha w14:val="60000"/>
            </w14:srgbClr>
          </w14:shadow>
        </w:rPr>
        <w:t>7</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FF7B1C">
        <w:rPr>
          <w:b/>
          <w:sz w:val="20"/>
        </w:rPr>
        <w:t>27</w:t>
      </w:r>
      <w:r w:rsidR="00081D67" w:rsidRPr="00BF3449">
        <w:rPr>
          <w:b/>
          <w:sz w:val="20"/>
        </w:rPr>
        <w:t xml:space="preserve"> </w:t>
      </w:r>
      <w:r w:rsidRPr="00BF3449">
        <w:rPr>
          <w:b/>
          <w:sz w:val="20"/>
        </w:rPr>
        <w:t xml:space="preserve">de </w:t>
      </w:r>
      <w:r w:rsidR="00ED4943">
        <w:rPr>
          <w:b/>
          <w:sz w:val="20"/>
        </w:rPr>
        <w:t>fevereiro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360A70">
        <w:rPr>
          <w:b/>
          <w:sz w:val="20"/>
        </w:rPr>
        <w:t>11</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ED4943">
        <w:rPr>
          <w:b/>
          <w:sz w:val="20"/>
        </w:rPr>
        <w:t xml:space="preserve">REGISTRO DE PREÇOS PARA AQUISIÇÃO DE </w:t>
      </w:r>
      <w:r w:rsidR="00360A70">
        <w:rPr>
          <w:b/>
          <w:sz w:val="20"/>
        </w:rPr>
        <w:t>TABLETS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EE0E78">
        <w:rPr>
          <w:spacing w:val="-7"/>
          <w:sz w:val="20"/>
        </w:rPr>
        <w:t xml:space="preserve"> </w:t>
      </w:r>
      <w:r w:rsidR="00C95EDB">
        <w:rPr>
          <w:spacing w:val="-7"/>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Pr="00D84967" w:rsidRDefault="0048632D" w:rsidP="00C95EDB">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lastRenderedPageBreak/>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 xml:space="preserve">ou da contrapartida nacional, não poderá participar pessoa física ou jurídica que integre o rol de pessoas sancionadas por </w:t>
      </w:r>
      <w:r>
        <w:rPr>
          <w:sz w:val="20"/>
        </w:rPr>
        <w:lastRenderedPageBreak/>
        <w:t>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 xml:space="preserve">3º </w:t>
      </w:r>
      <w:r>
        <w:rPr>
          <w:sz w:val="20"/>
        </w:rPr>
        <w:lastRenderedPageBreak/>
        <w:t>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D84967" w:rsidRPr="00D84967" w:rsidRDefault="00D84967" w:rsidP="00D84967">
      <w:pPr>
        <w:tabs>
          <w:tab w:val="left" w:pos="924"/>
          <w:tab w:val="left" w:pos="1268"/>
        </w:tabs>
        <w:spacing w:before="118" w:line="276" w:lineRule="auto"/>
        <w:ind w:left="565" w:right="152"/>
        <w:rPr>
          <w:sz w:val="20"/>
        </w:rPr>
      </w:pPr>
    </w:p>
    <w:p w:rsidR="00313C4B" w:rsidRDefault="0048632D" w:rsidP="00215DB5">
      <w:pPr>
        <w:pStyle w:val="Ttulo2"/>
        <w:numPr>
          <w:ilvl w:val="0"/>
          <w:numId w:val="11"/>
        </w:numPr>
        <w:tabs>
          <w:tab w:val="left" w:pos="923"/>
        </w:tabs>
        <w:ind w:left="923" w:hanging="357"/>
        <w:jc w:val="both"/>
      </w:pPr>
      <w:r>
        <w:lastRenderedPageBreak/>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lastRenderedPageBreak/>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sessão pública será suspensa e reiniciada somente depois de decorridas vinte e quatro horas da comunicação do </w:t>
      </w:r>
      <w:r>
        <w:rPr>
          <w:sz w:val="20"/>
        </w:rPr>
        <w:lastRenderedPageBreak/>
        <w:t>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 xml:space="preserve">Encerrada a etapa de envio de lances da sessão pública, na hipótese da proposta do primeiro colocado </w:t>
      </w:r>
      <w:r>
        <w:rPr>
          <w:sz w:val="20"/>
        </w:rPr>
        <w:lastRenderedPageBreak/>
        <w:t>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 xml:space="preserve">ao </w:t>
      </w:r>
      <w:r>
        <w:rPr>
          <w:sz w:val="20"/>
        </w:rPr>
        <w:lastRenderedPageBreak/>
        <w:t>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 xml:space="preserve">licitante </w:t>
      </w:r>
      <w:r>
        <w:rPr>
          <w:sz w:val="20"/>
        </w:rPr>
        <w:lastRenderedPageBreak/>
        <w:t>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 xml:space="preserve">Certidão Negativa relativa aos tributos estaduais, extraída via internet, emitida pela Receita Estadual, </w:t>
      </w:r>
      <w:r>
        <w:rPr>
          <w:sz w:val="20"/>
        </w:rPr>
        <w:lastRenderedPageBreak/>
        <w:t>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lastRenderedPageBreak/>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lastRenderedPageBreak/>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lastRenderedPageBreak/>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w:t>
      </w:r>
      <w:r>
        <w:rPr>
          <w:sz w:val="20"/>
        </w:rPr>
        <w:lastRenderedPageBreak/>
        <w:t xml:space="preserve">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Pr="00360A70" w:rsidRDefault="00156D47" w:rsidP="00215DB5">
      <w:pPr>
        <w:pStyle w:val="PargrafodaLista"/>
        <w:numPr>
          <w:ilvl w:val="1"/>
          <w:numId w:val="11"/>
        </w:numPr>
        <w:tabs>
          <w:tab w:val="left" w:pos="924"/>
          <w:tab w:val="left" w:pos="1275"/>
        </w:tabs>
        <w:spacing w:before="156" w:line="276" w:lineRule="auto"/>
        <w:ind w:right="155"/>
        <w:rPr>
          <w:b/>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360A70">
        <w:rPr>
          <w:sz w:val="20"/>
        </w:rPr>
        <w:t>deverá</w:t>
      </w:r>
      <w:r w:rsidR="00A23B9E">
        <w:rPr>
          <w:sz w:val="20"/>
        </w:rPr>
        <w:t xml:space="preserve"> </w:t>
      </w:r>
      <w:r w:rsidR="00827CF2">
        <w:rPr>
          <w:sz w:val="20"/>
        </w:rPr>
        <w:t>ser realizad</w:t>
      </w:r>
      <w:r w:rsidR="00210671">
        <w:rPr>
          <w:sz w:val="20"/>
        </w:rPr>
        <w:t>a</w:t>
      </w:r>
      <w:r w:rsidR="000733F0">
        <w:rPr>
          <w:sz w:val="20"/>
        </w:rPr>
        <w:t xml:space="preserve"> </w:t>
      </w:r>
      <w:r w:rsidR="00FF7B1C">
        <w:rPr>
          <w:sz w:val="20"/>
        </w:rPr>
        <w:t>n</w:t>
      </w:r>
      <w:r w:rsidR="00360A70">
        <w:rPr>
          <w:sz w:val="20"/>
        </w:rPr>
        <w:t xml:space="preserve">a </w:t>
      </w:r>
      <w:r w:rsidR="00360A70" w:rsidRPr="00360A70">
        <w:rPr>
          <w:b/>
          <w:sz w:val="20"/>
        </w:rPr>
        <w:t>Secretaria de Saúde, sito à Av. Dr Roberto Cardoso, nº 659.</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bookmarkStart w:id="0" w:name="_GoBack"/>
      <w:bookmarkEnd w:id="0"/>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12/02/2026</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801491" w:rsidRPr="009211F7" w:rsidRDefault="00801491"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12/02/2026</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801491"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801491" w:rsidRPr="0083086D"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801491" w:rsidRPr="009211F7" w:rsidRDefault="0080149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801491" w:rsidRPr="009211F7" w:rsidRDefault="00801491"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FF7B1C">
        <w:rPr>
          <w:spacing w:val="-5"/>
        </w:rPr>
        <w:t>12</w:t>
      </w:r>
      <w:r w:rsidR="00311C5A">
        <w:rPr>
          <w:spacing w:val="-5"/>
        </w:rPr>
        <w:t xml:space="preserve"> </w:t>
      </w:r>
      <w:r w:rsidR="0048632D" w:rsidRPr="00131B89">
        <w:t>de</w:t>
      </w:r>
      <w:r w:rsidR="0048632D" w:rsidRPr="00131B89">
        <w:rPr>
          <w:spacing w:val="-5"/>
        </w:rPr>
        <w:t xml:space="preserve"> </w:t>
      </w:r>
      <w:r w:rsidR="00C95EDB">
        <w:rPr>
          <w:spacing w:val="-5"/>
        </w:rPr>
        <w:t>fevereiro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pPr>
    </w:p>
    <w:p w:rsidR="00A23B9E" w:rsidRDefault="00A23B9E">
      <w:pPr>
        <w:spacing w:line="268" w:lineRule="exact"/>
        <w:jc w:val="center"/>
      </w:pPr>
    </w:p>
    <w:p w:rsidR="00A23B9E" w:rsidRDefault="00A23B9E">
      <w:pPr>
        <w:spacing w:line="268" w:lineRule="exact"/>
        <w:jc w:val="center"/>
      </w:pPr>
    </w:p>
    <w:p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rsidR="00A23B9E" w:rsidRDefault="00A23B9E" w:rsidP="00A23B9E">
      <w:pPr>
        <w:ind w:left="424" w:right="1"/>
        <w:jc w:val="center"/>
        <w:rPr>
          <w:b/>
        </w:rPr>
      </w:pPr>
      <w:r>
        <w:rPr>
          <w:b/>
        </w:rPr>
        <w:lastRenderedPageBreak/>
        <w:t>Anexo I</w:t>
      </w:r>
    </w:p>
    <w:p w:rsidR="00A23B9E" w:rsidRDefault="00A23B9E">
      <w:pPr>
        <w:ind w:left="424" w:right="1"/>
        <w:jc w:val="center"/>
        <w:rPr>
          <w:b/>
        </w:rPr>
      </w:pPr>
    </w:p>
    <w:p w:rsidR="00A23B9E" w:rsidRDefault="00A23B9E">
      <w:pPr>
        <w:ind w:left="424" w:right="1"/>
        <w:jc w:val="center"/>
        <w:rPr>
          <w:b/>
        </w:rPr>
      </w:pPr>
      <w:r>
        <w:rPr>
          <w:b/>
        </w:rPr>
        <w:t xml:space="preserve">Tabela de Referência </w:t>
      </w:r>
    </w:p>
    <w:p w:rsidR="00A23B9E" w:rsidRDefault="00A23B9E">
      <w:pPr>
        <w:ind w:left="424" w:right="1"/>
        <w:jc w:val="center"/>
        <w:rPr>
          <w:b/>
        </w:rPr>
      </w:pPr>
    </w:p>
    <w:tbl>
      <w:tblPr>
        <w:tblStyle w:val="Tabelacomgrade"/>
        <w:tblW w:w="10350" w:type="dxa"/>
        <w:tblInd w:w="607" w:type="dxa"/>
        <w:tblLook w:val="04A0" w:firstRow="1" w:lastRow="0" w:firstColumn="1" w:lastColumn="0" w:noHBand="0" w:noVBand="1"/>
      </w:tblPr>
      <w:tblGrid>
        <w:gridCol w:w="800"/>
        <w:gridCol w:w="3870"/>
        <w:gridCol w:w="1245"/>
        <w:gridCol w:w="1408"/>
        <w:gridCol w:w="1421"/>
        <w:gridCol w:w="1606"/>
      </w:tblGrid>
      <w:tr w:rsidR="00A23B9E" w:rsidRPr="006B44EC" w:rsidTr="00C95EDB">
        <w:tc>
          <w:tcPr>
            <w:tcW w:w="800" w:type="dxa"/>
            <w:vAlign w:val="center"/>
          </w:tcPr>
          <w:p w:rsidR="00A23B9E" w:rsidRPr="00FD6306" w:rsidRDefault="00A23B9E" w:rsidP="00A23B9E">
            <w:pPr>
              <w:jc w:val="center"/>
              <w:rPr>
                <w:b/>
              </w:rPr>
            </w:pPr>
            <w:bookmarkStart w:id="8" w:name="_Hlk211851530"/>
            <w:r w:rsidRPr="00FD6306">
              <w:rPr>
                <w:b/>
              </w:rPr>
              <w:t>ITEM</w:t>
            </w:r>
          </w:p>
        </w:tc>
        <w:tc>
          <w:tcPr>
            <w:tcW w:w="3870" w:type="dxa"/>
            <w:shd w:val="clear" w:color="auto" w:fill="auto"/>
          </w:tcPr>
          <w:p w:rsidR="00A23B9E" w:rsidRPr="006B44EC" w:rsidRDefault="00A23B9E" w:rsidP="00A23B9E">
            <w:pPr>
              <w:rPr>
                <w:b/>
              </w:rPr>
            </w:pPr>
            <w:r w:rsidRPr="006B44EC">
              <w:rPr>
                <w:b/>
              </w:rPr>
              <w:t>DESCRIÇÃO</w:t>
            </w:r>
          </w:p>
        </w:tc>
        <w:tc>
          <w:tcPr>
            <w:tcW w:w="1245" w:type="dxa"/>
            <w:shd w:val="clear" w:color="auto" w:fill="auto"/>
          </w:tcPr>
          <w:p w:rsidR="00A23B9E" w:rsidRPr="006B44EC" w:rsidRDefault="00A23B9E" w:rsidP="00A23B9E">
            <w:pPr>
              <w:jc w:val="center"/>
              <w:rPr>
                <w:b/>
              </w:rPr>
            </w:pPr>
            <w:r w:rsidRPr="006B44EC">
              <w:rPr>
                <w:b/>
              </w:rPr>
              <w:t>UNIDADE</w:t>
            </w:r>
          </w:p>
        </w:tc>
        <w:tc>
          <w:tcPr>
            <w:tcW w:w="1408" w:type="dxa"/>
            <w:shd w:val="clear" w:color="auto" w:fill="auto"/>
            <w:vAlign w:val="center"/>
          </w:tcPr>
          <w:p w:rsidR="00A23B9E" w:rsidRPr="006B44EC" w:rsidRDefault="00A23B9E" w:rsidP="00A23B9E">
            <w:pPr>
              <w:jc w:val="center"/>
              <w:rPr>
                <w:b/>
              </w:rPr>
            </w:pPr>
            <w:r w:rsidRPr="006B44EC">
              <w:rPr>
                <w:b/>
              </w:rPr>
              <w:t>QUANT.</w:t>
            </w:r>
          </w:p>
        </w:tc>
        <w:tc>
          <w:tcPr>
            <w:tcW w:w="1421" w:type="dxa"/>
            <w:shd w:val="clear" w:color="auto" w:fill="auto"/>
            <w:vAlign w:val="center"/>
          </w:tcPr>
          <w:p w:rsidR="00A23B9E" w:rsidRPr="006B44EC" w:rsidRDefault="00A23B9E" w:rsidP="00A23B9E">
            <w:pPr>
              <w:rPr>
                <w:b/>
              </w:rPr>
            </w:pPr>
            <w:r>
              <w:rPr>
                <w:b/>
              </w:rPr>
              <w:t>VLR UNIT</w:t>
            </w:r>
          </w:p>
        </w:tc>
        <w:tc>
          <w:tcPr>
            <w:tcW w:w="1606" w:type="dxa"/>
          </w:tcPr>
          <w:p w:rsidR="00A23B9E" w:rsidRDefault="00A23B9E" w:rsidP="00A23B9E">
            <w:pPr>
              <w:rPr>
                <w:b/>
              </w:rPr>
            </w:pPr>
            <w:r>
              <w:rPr>
                <w:b/>
              </w:rPr>
              <w:t>VLR TOTAL</w:t>
            </w:r>
          </w:p>
        </w:tc>
      </w:tr>
      <w:tr w:rsidR="00CB43E0" w:rsidTr="00F67756">
        <w:tc>
          <w:tcPr>
            <w:tcW w:w="800" w:type="dxa"/>
            <w:vAlign w:val="center"/>
          </w:tcPr>
          <w:p w:rsidR="00CB43E0" w:rsidRPr="00C95EDB" w:rsidRDefault="00CB43E0" w:rsidP="00CB43E0">
            <w:pPr>
              <w:ind w:left="360"/>
              <w:jc w:val="center"/>
              <w:rPr>
                <w:b/>
              </w:rPr>
            </w:pPr>
            <w:r>
              <w:rPr>
                <w:b/>
              </w:rPr>
              <w:t>1</w:t>
            </w:r>
          </w:p>
        </w:tc>
        <w:tc>
          <w:tcPr>
            <w:tcW w:w="3870" w:type="dxa"/>
          </w:tcPr>
          <w:p w:rsidR="00CB43E0" w:rsidRPr="00CB064A" w:rsidRDefault="00360A70" w:rsidP="00CB43E0">
            <w:pPr>
              <w:spacing w:line="360" w:lineRule="auto"/>
            </w:pPr>
            <w:r>
              <w:t>TABLET 128GB, Conforme TR</w:t>
            </w:r>
          </w:p>
        </w:tc>
        <w:tc>
          <w:tcPr>
            <w:tcW w:w="1245" w:type="dxa"/>
            <w:vAlign w:val="center"/>
          </w:tcPr>
          <w:p w:rsidR="00CB43E0" w:rsidRPr="00A23B9E" w:rsidRDefault="00CB43E0" w:rsidP="00CB43E0">
            <w:pPr>
              <w:jc w:val="center"/>
            </w:pPr>
            <w:r>
              <w:t>UN</w:t>
            </w:r>
          </w:p>
        </w:tc>
        <w:tc>
          <w:tcPr>
            <w:tcW w:w="1408" w:type="dxa"/>
            <w:vAlign w:val="center"/>
          </w:tcPr>
          <w:p w:rsidR="00CB43E0" w:rsidRPr="00CB43E0" w:rsidRDefault="00360A70" w:rsidP="00CB43E0">
            <w:pPr>
              <w:jc w:val="center"/>
              <w:rPr>
                <w:rFonts w:eastAsia="Times New Roman"/>
                <w:color w:val="000000"/>
                <w:lang w:val="pt-BR"/>
              </w:rPr>
            </w:pPr>
            <w:r>
              <w:rPr>
                <w:rFonts w:eastAsia="Times New Roman"/>
                <w:color w:val="000000"/>
                <w:lang w:val="pt-BR"/>
              </w:rPr>
              <w:t>50</w:t>
            </w:r>
          </w:p>
        </w:tc>
        <w:tc>
          <w:tcPr>
            <w:tcW w:w="1421" w:type="dxa"/>
            <w:vAlign w:val="center"/>
          </w:tcPr>
          <w:p w:rsidR="00CB43E0" w:rsidRPr="00A23B9E" w:rsidRDefault="00CB43E0" w:rsidP="00CB43E0">
            <w:pPr>
              <w:rPr>
                <w:color w:val="000000"/>
              </w:rPr>
            </w:pPr>
            <w:r w:rsidRPr="00A23B9E">
              <w:rPr>
                <w:color w:val="000000"/>
              </w:rPr>
              <w:t xml:space="preserve">R$ </w:t>
            </w:r>
            <w:r w:rsidR="00360A70">
              <w:rPr>
                <w:color w:val="000000"/>
              </w:rPr>
              <w:t>3.492,75</w:t>
            </w:r>
          </w:p>
        </w:tc>
        <w:tc>
          <w:tcPr>
            <w:tcW w:w="1606" w:type="dxa"/>
            <w:vAlign w:val="center"/>
          </w:tcPr>
          <w:p w:rsidR="00CB43E0" w:rsidRDefault="00CB43E0" w:rsidP="00F67756">
            <w:pPr>
              <w:jc w:val="center"/>
              <w:rPr>
                <w:color w:val="000000"/>
              </w:rPr>
            </w:pPr>
            <w:r>
              <w:rPr>
                <w:color w:val="000000"/>
              </w:rPr>
              <w:t xml:space="preserve">R$ </w:t>
            </w:r>
            <w:r w:rsidR="00360A70">
              <w:rPr>
                <w:color w:val="000000"/>
              </w:rPr>
              <w:t>174.637,50</w:t>
            </w:r>
          </w:p>
        </w:tc>
      </w:tr>
      <w:tr w:rsidR="00CB43E0" w:rsidTr="00C95EDB">
        <w:tc>
          <w:tcPr>
            <w:tcW w:w="800" w:type="dxa"/>
            <w:vAlign w:val="center"/>
          </w:tcPr>
          <w:p w:rsidR="00CB43E0" w:rsidRDefault="00CB43E0" w:rsidP="00CB43E0">
            <w:pPr>
              <w:ind w:left="360"/>
              <w:jc w:val="center"/>
              <w:rPr>
                <w:b/>
              </w:rPr>
            </w:pPr>
          </w:p>
        </w:tc>
        <w:tc>
          <w:tcPr>
            <w:tcW w:w="3870" w:type="dxa"/>
            <w:vAlign w:val="bottom"/>
          </w:tcPr>
          <w:p w:rsidR="00CB43E0" w:rsidRDefault="00CB43E0" w:rsidP="00CB43E0">
            <w:pPr>
              <w:rPr>
                <w:color w:val="000000"/>
              </w:rPr>
            </w:pPr>
          </w:p>
        </w:tc>
        <w:tc>
          <w:tcPr>
            <w:tcW w:w="1245" w:type="dxa"/>
            <w:vAlign w:val="center"/>
          </w:tcPr>
          <w:p w:rsidR="00CB43E0" w:rsidRPr="00A23B9E" w:rsidRDefault="00CB43E0" w:rsidP="00CB43E0">
            <w:pPr>
              <w:jc w:val="center"/>
            </w:pPr>
          </w:p>
        </w:tc>
        <w:tc>
          <w:tcPr>
            <w:tcW w:w="1408" w:type="dxa"/>
            <w:vAlign w:val="center"/>
          </w:tcPr>
          <w:p w:rsidR="00CB43E0" w:rsidRPr="00A23B9E" w:rsidRDefault="00CB43E0" w:rsidP="00CB43E0">
            <w:pPr>
              <w:jc w:val="center"/>
              <w:rPr>
                <w:rFonts w:eastAsia="Times New Roman"/>
                <w:color w:val="000000"/>
                <w:lang w:val="pt-BR"/>
              </w:rPr>
            </w:pPr>
          </w:p>
        </w:tc>
        <w:tc>
          <w:tcPr>
            <w:tcW w:w="1421" w:type="dxa"/>
            <w:vAlign w:val="center"/>
          </w:tcPr>
          <w:p w:rsidR="00CB43E0" w:rsidRPr="00A23B9E" w:rsidRDefault="00CB43E0" w:rsidP="00CB43E0">
            <w:pPr>
              <w:rPr>
                <w:color w:val="000000"/>
              </w:rPr>
            </w:pPr>
            <w:r>
              <w:rPr>
                <w:color w:val="000000"/>
              </w:rPr>
              <w:t>Valor Total</w:t>
            </w:r>
          </w:p>
        </w:tc>
        <w:tc>
          <w:tcPr>
            <w:tcW w:w="1606" w:type="dxa"/>
            <w:vAlign w:val="center"/>
          </w:tcPr>
          <w:p w:rsidR="00CB43E0" w:rsidRPr="00F67756" w:rsidRDefault="00CB43E0" w:rsidP="00CB43E0">
            <w:pPr>
              <w:jc w:val="center"/>
              <w:rPr>
                <w:b/>
                <w:color w:val="000000"/>
              </w:rPr>
            </w:pPr>
            <w:r w:rsidRPr="00F67756">
              <w:rPr>
                <w:b/>
                <w:color w:val="000000"/>
              </w:rPr>
              <w:t xml:space="preserve">R$ </w:t>
            </w:r>
            <w:r w:rsidR="00360A70">
              <w:rPr>
                <w:b/>
                <w:color w:val="000000"/>
              </w:rPr>
              <w:t>174</w:t>
            </w:r>
            <w:r w:rsidRPr="00F67756">
              <w:rPr>
                <w:b/>
                <w:color w:val="000000"/>
              </w:rPr>
              <w:t>.</w:t>
            </w:r>
            <w:r w:rsidR="00360A70">
              <w:rPr>
                <w:b/>
                <w:color w:val="000000"/>
              </w:rPr>
              <w:t>637,50</w:t>
            </w:r>
          </w:p>
        </w:tc>
      </w:tr>
      <w:bookmarkEnd w:id="8"/>
    </w:tbl>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F67756" w:rsidRDefault="00F67756">
      <w:pPr>
        <w:ind w:left="424" w:right="1"/>
        <w:jc w:val="center"/>
        <w:rPr>
          <w:b/>
        </w:rPr>
      </w:pPr>
    </w:p>
    <w:p w:rsidR="00360A70" w:rsidRDefault="00360A70">
      <w:pPr>
        <w:ind w:left="424" w:right="1"/>
        <w:jc w:val="center"/>
        <w:rPr>
          <w:b/>
        </w:rPr>
      </w:pPr>
    </w:p>
    <w:p w:rsidR="00360A70" w:rsidRDefault="00360A70">
      <w:pPr>
        <w:ind w:left="424" w:right="1"/>
        <w:jc w:val="center"/>
        <w:rPr>
          <w:b/>
        </w:rPr>
      </w:pPr>
    </w:p>
    <w:p w:rsidR="00360A70" w:rsidRDefault="00360A70">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360A70">
        <w:rPr>
          <w:b/>
          <w:spacing w:val="-3"/>
        </w:rPr>
        <w:t>007</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0</w:t>
      </w:r>
      <w:r w:rsidR="00360A70">
        <w:rPr>
          <w:b/>
        </w:rPr>
        <w:t>07</w:t>
      </w:r>
      <w:r w:rsidR="00A23B9E">
        <w:rPr>
          <w:b/>
        </w:rPr>
        <w:t>/</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A23B9E">
        <w:rPr>
          <w:b/>
          <w:spacing w:val="-3"/>
        </w:rPr>
        <w:t>0</w:t>
      </w:r>
      <w:r w:rsidR="00F67756">
        <w:rPr>
          <w:b/>
          <w:spacing w:val="-3"/>
        </w:rPr>
        <w:t>0</w:t>
      </w:r>
      <w:r w:rsidR="00360A70">
        <w:rPr>
          <w:b/>
          <w:spacing w:val="-3"/>
        </w:rPr>
        <w:t>7</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448" w:rsidRDefault="00594448">
      <w:r>
        <w:separator/>
      </w:r>
    </w:p>
  </w:endnote>
  <w:endnote w:type="continuationSeparator" w:id="0">
    <w:p w:rsidR="00594448" w:rsidRDefault="0059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801491" w:rsidRPr="00FC763D" w:rsidRDefault="0080149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448" w:rsidRDefault="00594448">
      <w:r>
        <w:separator/>
      </w:r>
    </w:p>
  </w:footnote>
  <w:footnote w:type="continuationSeparator" w:id="0">
    <w:p w:rsidR="00594448" w:rsidRDefault="0059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491" w:rsidRDefault="00801491">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p>
  <w:p w:rsidR="00801491" w:rsidRDefault="00801491">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801491" w:rsidRPr="0052730C" w:rsidRDefault="0080149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01491" w:rsidRPr="0052730C" w:rsidRDefault="0080149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01491" w:rsidRDefault="0080149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01491" w:rsidRPr="0052730C" w:rsidRDefault="00801491">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801491" w:rsidRPr="0052730C" w:rsidRDefault="0080149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01491" w:rsidRPr="0052730C" w:rsidRDefault="0080149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01491" w:rsidRPr="0052730C" w:rsidRDefault="0080149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01491" w:rsidRDefault="0080149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01491" w:rsidRPr="0052730C" w:rsidRDefault="00801491">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192A03C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4"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5" w15:restartNumberingAfterBreak="0">
    <w:nsid w:val="2E7C7E4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003B4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8"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9"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10"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11" w15:restartNumberingAfterBreak="0">
    <w:nsid w:val="4F2632C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13" w15:restartNumberingAfterBreak="0">
    <w:nsid w:val="57AD3E6D"/>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320E56"/>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A5B2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7" w15:restartNumberingAfterBreak="0">
    <w:nsid w:val="6A3A7EA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9"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D872F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8"/>
  </w:num>
  <w:num w:numId="6">
    <w:abstractNumId w:val="3"/>
  </w:num>
  <w:num w:numId="7">
    <w:abstractNumId w:val="9"/>
  </w:num>
  <w:num w:numId="8">
    <w:abstractNumId w:val="16"/>
  </w:num>
  <w:num w:numId="9">
    <w:abstractNumId w:val="1"/>
  </w:num>
  <w:num w:numId="10">
    <w:abstractNumId w:val="18"/>
  </w:num>
  <w:num w:numId="11">
    <w:abstractNumId w:val="12"/>
  </w:num>
  <w:num w:numId="12">
    <w:abstractNumId w:val="19"/>
  </w:num>
  <w:num w:numId="13">
    <w:abstractNumId w:val="11"/>
  </w:num>
  <w:num w:numId="14">
    <w:abstractNumId w:val="5"/>
  </w:num>
  <w:num w:numId="15">
    <w:abstractNumId w:val="17"/>
  </w:num>
  <w:num w:numId="16">
    <w:abstractNumId w:val="15"/>
  </w:num>
  <w:num w:numId="17">
    <w:abstractNumId w:val="13"/>
  </w:num>
  <w:num w:numId="18">
    <w:abstractNumId w:val="2"/>
  </w:num>
  <w:num w:numId="19">
    <w:abstractNumId w:val="1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B368B"/>
    <w:rsid w:val="000F3019"/>
    <w:rsid w:val="00100D54"/>
    <w:rsid w:val="0011741E"/>
    <w:rsid w:val="00131B89"/>
    <w:rsid w:val="00156D47"/>
    <w:rsid w:val="001664A4"/>
    <w:rsid w:val="00192ADD"/>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0A70"/>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391E"/>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9444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90A0C"/>
    <w:rsid w:val="007B2D48"/>
    <w:rsid w:val="007B699E"/>
    <w:rsid w:val="007C0DB3"/>
    <w:rsid w:val="007D3414"/>
    <w:rsid w:val="007D41D4"/>
    <w:rsid w:val="00801491"/>
    <w:rsid w:val="00827CF2"/>
    <w:rsid w:val="008314A7"/>
    <w:rsid w:val="00833966"/>
    <w:rsid w:val="00834370"/>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17521"/>
    <w:rsid w:val="00A210E1"/>
    <w:rsid w:val="00A22FB1"/>
    <w:rsid w:val="00A23B9E"/>
    <w:rsid w:val="00A36322"/>
    <w:rsid w:val="00A41BA0"/>
    <w:rsid w:val="00A4343B"/>
    <w:rsid w:val="00AA69B4"/>
    <w:rsid w:val="00AB0DB4"/>
    <w:rsid w:val="00B229F8"/>
    <w:rsid w:val="00B410FF"/>
    <w:rsid w:val="00B71038"/>
    <w:rsid w:val="00B72333"/>
    <w:rsid w:val="00B76F96"/>
    <w:rsid w:val="00BF1BE9"/>
    <w:rsid w:val="00BF3449"/>
    <w:rsid w:val="00C14634"/>
    <w:rsid w:val="00C53E96"/>
    <w:rsid w:val="00C72AA2"/>
    <w:rsid w:val="00C72E2F"/>
    <w:rsid w:val="00C8697A"/>
    <w:rsid w:val="00C95EDB"/>
    <w:rsid w:val="00C96DA1"/>
    <w:rsid w:val="00CB43E0"/>
    <w:rsid w:val="00CB5A1B"/>
    <w:rsid w:val="00CC63E7"/>
    <w:rsid w:val="00CD0002"/>
    <w:rsid w:val="00CD6CC6"/>
    <w:rsid w:val="00D1258C"/>
    <w:rsid w:val="00D34728"/>
    <w:rsid w:val="00D57981"/>
    <w:rsid w:val="00D830C5"/>
    <w:rsid w:val="00D84967"/>
    <w:rsid w:val="00D85623"/>
    <w:rsid w:val="00D918EF"/>
    <w:rsid w:val="00D969AE"/>
    <w:rsid w:val="00DA2B1F"/>
    <w:rsid w:val="00DD1FA6"/>
    <w:rsid w:val="00DE0EBD"/>
    <w:rsid w:val="00DF2C12"/>
    <w:rsid w:val="00E05F8F"/>
    <w:rsid w:val="00E601FA"/>
    <w:rsid w:val="00E6063F"/>
    <w:rsid w:val="00EA6F05"/>
    <w:rsid w:val="00EB0018"/>
    <w:rsid w:val="00ED24F1"/>
    <w:rsid w:val="00ED4943"/>
    <w:rsid w:val="00EE0E78"/>
    <w:rsid w:val="00EE4BE5"/>
    <w:rsid w:val="00F15F2E"/>
    <w:rsid w:val="00F2088E"/>
    <w:rsid w:val="00F24802"/>
    <w:rsid w:val="00F30E2D"/>
    <w:rsid w:val="00F42FD8"/>
    <w:rsid w:val="00F51455"/>
    <w:rsid w:val="00F67756"/>
    <w:rsid w:val="00F91F27"/>
    <w:rsid w:val="00FA490E"/>
    <w:rsid w:val="00FA5496"/>
    <w:rsid w:val="00FC763D"/>
    <w:rsid w:val="00FD6306"/>
    <w:rsid w:val="00FF7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27652"/>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8892</Words>
  <Characters>48017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3</cp:revision>
  <cp:lastPrinted>2026-02-12T14:15:00Z</cp:lastPrinted>
  <dcterms:created xsi:type="dcterms:W3CDTF">2026-02-12T14:10:00Z</dcterms:created>
  <dcterms:modified xsi:type="dcterms:W3CDTF">2026-02-12T14:24:00Z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