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EA6F05" w:rsidRPr="00464503">
        <w:rPr>
          <w:spacing w:val="-11"/>
          <w14:shadow w14:blurRad="50800" w14:dist="38100" w14:dir="2700000" w14:sx="100000" w14:sy="100000" w14:kx="0" w14:ky="0" w14:algn="tl">
            <w14:srgbClr w14:val="000000">
              <w14:alpha w14:val="60000"/>
            </w14:srgbClr>
          </w14:shadow>
        </w:rPr>
        <w:t>3</w:t>
      </w:r>
      <w:r w:rsidR="00464503" w:rsidRPr="00464503">
        <w:rPr>
          <w:spacing w:val="-11"/>
          <w14:shadow w14:blurRad="50800" w14:dist="38100" w14:dir="2700000" w14:sx="100000" w14:sy="100000" w14:kx="0" w14:ky="0" w14:algn="tl">
            <w14:srgbClr w14:val="000000">
              <w14:alpha w14:val="60000"/>
            </w14:srgbClr>
          </w14:shadow>
        </w:rPr>
        <w:t>8</w:t>
      </w:r>
      <w:r w:rsidR="00D918EF" w:rsidRPr="00464503">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bookmarkStart w:id="0" w:name="_GoBack"/>
      <w:bookmarkEnd w:id="0"/>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6B44EC" w:rsidRPr="0052730C" w:rsidTr="002B287F">
        <w:trPr>
          <w:trHeight w:val="395"/>
        </w:trPr>
        <w:tc>
          <w:tcPr>
            <w:tcW w:w="3462" w:type="dxa"/>
            <w:shd w:val="clear" w:color="auto" w:fill="auto"/>
          </w:tcPr>
          <w:p w:rsidR="006B44EC" w:rsidRPr="007414CC"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7414CC">
              <w:rPr>
                <w:b/>
                <w14:shadow w14:blurRad="50800" w14:dist="38100" w14:dir="2700000" w14:sx="100000" w14:sy="100000" w14:kx="0" w14:ky="0" w14:algn="tl">
                  <w14:srgbClr w14:val="000000">
                    <w14:alpha w14:val="60000"/>
                  </w14:srgbClr>
                </w14:shadow>
              </w:rPr>
              <w:t>Valor</w:t>
            </w:r>
            <w:r w:rsidRPr="007414CC">
              <w:rPr>
                <w:b/>
                <w:spacing w:val="-9"/>
                <w14:shadow w14:blurRad="50800" w14:dist="38100" w14:dir="2700000" w14:sx="100000" w14:sy="100000" w14:kx="0" w14:ky="0" w14:algn="tl">
                  <w14:srgbClr w14:val="000000">
                    <w14:alpha w14:val="60000"/>
                  </w14:srgbClr>
                </w14:shadow>
              </w:rPr>
              <w:t xml:space="preserve"> </w:t>
            </w:r>
            <w:r w:rsidRPr="007414CC">
              <w:rPr>
                <w:b/>
                <w14:shadow w14:blurRad="50800" w14:dist="38100" w14:dir="2700000" w14:sx="100000" w14:sy="100000" w14:kx="0" w14:ky="0" w14:algn="tl">
                  <w14:srgbClr w14:val="000000">
                    <w14:alpha w14:val="60000"/>
                  </w14:srgbClr>
                </w14:shadow>
              </w:rPr>
              <w:t>Estimado</w:t>
            </w:r>
            <w:r w:rsidRPr="007414CC">
              <w:rPr>
                <w:b/>
                <w:spacing w:val="-9"/>
                <w14:shadow w14:blurRad="50800" w14:dist="38100" w14:dir="2700000" w14:sx="100000" w14:sy="100000" w14:kx="0" w14:ky="0" w14:algn="tl">
                  <w14:srgbClr w14:val="000000">
                    <w14:alpha w14:val="60000"/>
                  </w14:srgbClr>
                </w14:shadow>
              </w:rPr>
              <w:t xml:space="preserve"> </w:t>
            </w:r>
            <w:r w:rsidRPr="007414CC">
              <w:rPr>
                <w:b/>
                <w14:shadow w14:blurRad="50800" w14:dist="38100" w14:dir="2700000" w14:sx="100000" w14:sy="100000" w14:kx="0" w14:ky="0" w14:algn="tl">
                  <w14:srgbClr w14:val="000000">
                    <w14:alpha w14:val="60000"/>
                  </w14:srgbClr>
                </w14:shadow>
              </w:rPr>
              <w:t>da</w:t>
            </w:r>
            <w:r w:rsidRPr="007414CC">
              <w:rPr>
                <w:b/>
                <w:spacing w:val="-9"/>
                <w14:shadow w14:blurRad="50800" w14:dist="38100" w14:dir="2700000" w14:sx="100000" w14:sy="100000" w14:kx="0" w14:ky="0" w14:algn="tl">
                  <w14:srgbClr w14:val="000000">
                    <w14:alpha w14:val="60000"/>
                  </w14:srgbClr>
                </w14:shadow>
              </w:rPr>
              <w:t xml:space="preserve"> </w:t>
            </w:r>
            <w:r w:rsidRPr="007414CC">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1D2463" w:rsidRPr="00464503" w:rsidRDefault="006B44EC" w:rsidP="006B44EC">
            <w:pPr>
              <w:jc w:val="both"/>
              <w:rPr>
                <w:b/>
                <w:color w:val="000000"/>
              </w:rPr>
            </w:pPr>
            <w:r w:rsidRPr="00464503">
              <w:rPr>
                <w:b/>
                <w:spacing w:val="-2"/>
                <w14:shadow w14:blurRad="50800" w14:dist="38100" w14:dir="2700000" w14:sx="100000" w14:sy="100000" w14:kx="0" w14:ky="0" w14:algn="tl">
                  <w14:srgbClr w14:val="000000">
                    <w14:alpha w14:val="60000"/>
                  </w14:srgbClr>
                </w14:shadow>
              </w:rPr>
              <w:t xml:space="preserve">R$ </w:t>
            </w:r>
            <w:r w:rsidR="00464503" w:rsidRPr="00464503">
              <w:rPr>
                <w:b/>
                <w:spacing w:val="-2"/>
                <w14:shadow w14:blurRad="50800" w14:dist="38100" w14:dir="2700000" w14:sx="100000" w14:sy="100000" w14:kx="0" w14:ky="0" w14:algn="tl">
                  <w14:srgbClr w14:val="000000">
                    <w14:alpha w14:val="60000"/>
                  </w14:srgbClr>
                </w14:shadow>
              </w:rPr>
              <w:t>31.204,43</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464503">
        <w:rPr>
          <w:b/>
          <w:sz w:val="20"/>
        </w:rPr>
        <w:t>16</w:t>
      </w:r>
      <w:r w:rsidR="00081D67" w:rsidRPr="00BF3449">
        <w:rPr>
          <w:b/>
          <w:sz w:val="20"/>
        </w:rPr>
        <w:t xml:space="preserve"> </w:t>
      </w:r>
      <w:r w:rsidRPr="00BF3449">
        <w:rPr>
          <w:b/>
          <w:sz w:val="20"/>
        </w:rPr>
        <w:t xml:space="preserve">de </w:t>
      </w:r>
      <w:r w:rsidR="00464503">
        <w:rPr>
          <w:b/>
          <w:sz w:val="20"/>
        </w:rPr>
        <w:t xml:space="preserve">dezembro </w:t>
      </w:r>
      <w:r w:rsidRPr="00BF3449">
        <w:rPr>
          <w:b/>
          <w:sz w:val="20"/>
        </w:rPr>
        <w:t>de 202</w:t>
      </w:r>
      <w:r w:rsidR="00D918EF" w:rsidRPr="00BF3449">
        <w:rPr>
          <w:b/>
          <w:sz w:val="20"/>
        </w:rPr>
        <w:t>5</w:t>
      </w:r>
      <w:r w:rsidRPr="00BF3449">
        <w:rPr>
          <w:b/>
          <w:sz w:val="20"/>
        </w:rPr>
        <w:t>,</w:t>
      </w:r>
      <w:r w:rsidR="00755CFA">
        <w:rPr>
          <w:b/>
          <w:sz w:val="20"/>
        </w:rPr>
        <w:t xml:space="preserve"> </w:t>
      </w:r>
      <w:r w:rsidRPr="00BF3449">
        <w:rPr>
          <w:b/>
          <w:sz w:val="20"/>
        </w:rPr>
        <w:t xml:space="preserve">às </w:t>
      </w:r>
      <w:r w:rsidR="00392AFB">
        <w:rPr>
          <w:b/>
          <w:sz w:val="20"/>
        </w:rPr>
        <w:t>10</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DE </w:t>
      </w:r>
      <w:r w:rsidR="00464503">
        <w:rPr>
          <w:b/>
          <w:sz w:val="20"/>
        </w:rPr>
        <w:t>APARELHOS DE AR CONDICIONADO</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F2088E"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w:t>
      </w:r>
      <w:r w:rsidR="00464503">
        <w:rPr>
          <w:b/>
          <w:sz w:val="20"/>
        </w:rPr>
        <w:t>5</w:t>
      </w:r>
      <w:r w:rsidRPr="00156D47">
        <w:rPr>
          <w:b/>
          <w:sz w:val="20"/>
        </w:rPr>
        <w:t xml:space="preserve"> dias úteis</w:t>
      </w:r>
      <w:r w:rsidR="00827CF2">
        <w:rPr>
          <w:sz w:val="20"/>
        </w:rPr>
        <w:t>, e será realizad</w:t>
      </w:r>
      <w:r w:rsidR="00210671">
        <w:rPr>
          <w:sz w:val="20"/>
        </w:rPr>
        <w:t>a</w:t>
      </w:r>
      <w:r w:rsidR="000733F0">
        <w:rPr>
          <w:sz w:val="20"/>
        </w:rPr>
        <w:t xml:space="preserve"> </w:t>
      </w:r>
      <w:r w:rsidR="00510F37">
        <w:rPr>
          <w:sz w:val="20"/>
        </w:rPr>
        <w:t>dentro do perímetro urbano do Município de Arroio dos Ratos.</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464503">
                              <w:rPr>
                                <w:rFonts w:ascii="Arial" w:hAnsi="Arial" w:cs="Arial"/>
                                <w:sz w:val="16"/>
                                <w:szCs w:val="16"/>
                              </w:rPr>
                              <w:t>02</w:t>
                            </w:r>
                            <w:r>
                              <w:rPr>
                                <w:rFonts w:ascii="Arial" w:hAnsi="Arial" w:cs="Arial"/>
                                <w:sz w:val="16"/>
                                <w:szCs w:val="16"/>
                              </w:rPr>
                              <w:t>/</w:t>
                            </w:r>
                            <w:r w:rsidR="00464503">
                              <w:rPr>
                                <w:rFonts w:ascii="Arial" w:hAnsi="Arial" w:cs="Arial"/>
                                <w:sz w:val="16"/>
                                <w:szCs w:val="16"/>
                              </w:rPr>
                              <w:t>12</w:t>
                            </w:r>
                            <w:r>
                              <w:rPr>
                                <w:rFonts w:ascii="Arial" w:hAnsi="Arial" w:cs="Arial"/>
                                <w:sz w:val="16"/>
                                <w:szCs w:val="16"/>
                              </w:rPr>
                              <w:t>/2025</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F2088E" w:rsidRPr="009211F7" w:rsidRDefault="00F2088E"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464503">
                        <w:rPr>
                          <w:rFonts w:ascii="Arial" w:hAnsi="Arial" w:cs="Arial"/>
                          <w:sz w:val="16"/>
                          <w:szCs w:val="16"/>
                        </w:rPr>
                        <w:t>02</w:t>
                      </w:r>
                      <w:r>
                        <w:rPr>
                          <w:rFonts w:ascii="Arial" w:hAnsi="Arial" w:cs="Arial"/>
                          <w:sz w:val="16"/>
                          <w:szCs w:val="16"/>
                        </w:rPr>
                        <w:t>/</w:t>
                      </w:r>
                      <w:r w:rsidR="00464503">
                        <w:rPr>
                          <w:rFonts w:ascii="Arial" w:hAnsi="Arial" w:cs="Arial"/>
                          <w:sz w:val="16"/>
                          <w:szCs w:val="16"/>
                        </w:rPr>
                        <w:t>12</w:t>
                      </w:r>
                      <w:r>
                        <w:rPr>
                          <w:rFonts w:ascii="Arial" w:hAnsi="Arial" w:cs="Arial"/>
                          <w:sz w:val="16"/>
                          <w:szCs w:val="16"/>
                        </w:rPr>
                        <w:t>/2025</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F2088E" w:rsidRPr="009211F7" w:rsidRDefault="00F2088E"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464503">
        <w:rPr>
          <w:spacing w:val="-5"/>
        </w:rPr>
        <w:t>02</w:t>
      </w:r>
      <w:r w:rsidR="00311C5A">
        <w:rPr>
          <w:spacing w:val="-5"/>
        </w:rPr>
        <w:t xml:space="preserve"> </w:t>
      </w:r>
      <w:r w:rsidR="0048632D" w:rsidRPr="00131B89">
        <w:t>de</w:t>
      </w:r>
      <w:r w:rsidR="0048632D" w:rsidRPr="00131B89">
        <w:rPr>
          <w:spacing w:val="-5"/>
        </w:rPr>
        <w:t xml:space="preserve"> </w:t>
      </w:r>
      <w:r w:rsidR="00464503">
        <w:rPr>
          <w:spacing w:val="-5"/>
        </w:rPr>
        <w:t>dezembro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p w:rsidR="004C485E" w:rsidRDefault="004C485E" w:rsidP="004C485E">
      <w:pPr>
        <w:ind w:left="424" w:right="1"/>
        <w:jc w:val="center"/>
        <w:rPr>
          <w:b/>
          <w:spacing w:val="-10"/>
        </w:rPr>
      </w:pPr>
    </w:p>
    <w:tbl>
      <w:tblPr>
        <w:tblStyle w:val="Tabelacomgrade"/>
        <w:tblW w:w="9971" w:type="dxa"/>
        <w:tblInd w:w="607" w:type="dxa"/>
        <w:tblLook w:val="04A0" w:firstRow="1" w:lastRow="0" w:firstColumn="1" w:lastColumn="0" w:noHBand="0" w:noVBand="1"/>
      </w:tblPr>
      <w:tblGrid>
        <w:gridCol w:w="765"/>
        <w:gridCol w:w="3656"/>
        <w:gridCol w:w="1246"/>
        <w:gridCol w:w="1412"/>
        <w:gridCol w:w="1426"/>
        <w:gridCol w:w="1466"/>
      </w:tblGrid>
      <w:tr w:rsidR="00464503" w:rsidRPr="006B44EC" w:rsidTr="00464503">
        <w:tc>
          <w:tcPr>
            <w:tcW w:w="765" w:type="dxa"/>
            <w:vAlign w:val="center"/>
          </w:tcPr>
          <w:p w:rsidR="00464503" w:rsidRPr="00FD6306" w:rsidRDefault="00464503" w:rsidP="003515F8">
            <w:pPr>
              <w:jc w:val="center"/>
              <w:rPr>
                <w:b/>
              </w:rPr>
            </w:pPr>
            <w:bookmarkStart w:id="8" w:name="_Hlk211851530"/>
            <w:r w:rsidRPr="00FD6306">
              <w:rPr>
                <w:b/>
              </w:rPr>
              <w:t>ITEM</w:t>
            </w:r>
          </w:p>
        </w:tc>
        <w:tc>
          <w:tcPr>
            <w:tcW w:w="3656" w:type="dxa"/>
            <w:shd w:val="clear" w:color="auto" w:fill="auto"/>
          </w:tcPr>
          <w:p w:rsidR="00464503" w:rsidRPr="006B44EC" w:rsidRDefault="00464503" w:rsidP="003515F8">
            <w:pPr>
              <w:rPr>
                <w:b/>
              </w:rPr>
            </w:pPr>
            <w:r w:rsidRPr="006B44EC">
              <w:rPr>
                <w:b/>
              </w:rPr>
              <w:t>DESCRIÇÃO</w:t>
            </w:r>
          </w:p>
        </w:tc>
        <w:tc>
          <w:tcPr>
            <w:tcW w:w="1246" w:type="dxa"/>
            <w:shd w:val="clear" w:color="auto" w:fill="auto"/>
          </w:tcPr>
          <w:p w:rsidR="00464503" w:rsidRPr="006B44EC" w:rsidRDefault="00464503" w:rsidP="003515F8">
            <w:pPr>
              <w:jc w:val="center"/>
              <w:rPr>
                <w:b/>
              </w:rPr>
            </w:pPr>
            <w:r w:rsidRPr="006B44EC">
              <w:rPr>
                <w:b/>
              </w:rPr>
              <w:t>UNIDADE</w:t>
            </w:r>
          </w:p>
        </w:tc>
        <w:tc>
          <w:tcPr>
            <w:tcW w:w="1412" w:type="dxa"/>
            <w:shd w:val="clear" w:color="auto" w:fill="auto"/>
            <w:vAlign w:val="center"/>
          </w:tcPr>
          <w:p w:rsidR="00464503" w:rsidRPr="006B44EC" w:rsidRDefault="00464503" w:rsidP="003515F8">
            <w:pPr>
              <w:jc w:val="center"/>
              <w:rPr>
                <w:b/>
              </w:rPr>
            </w:pPr>
            <w:r w:rsidRPr="006B44EC">
              <w:rPr>
                <w:b/>
              </w:rPr>
              <w:t>QUANT.</w:t>
            </w:r>
          </w:p>
        </w:tc>
        <w:tc>
          <w:tcPr>
            <w:tcW w:w="1426" w:type="dxa"/>
            <w:shd w:val="clear" w:color="auto" w:fill="auto"/>
            <w:vAlign w:val="center"/>
          </w:tcPr>
          <w:p w:rsidR="00464503" w:rsidRPr="006B44EC" w:rsidRDefault="00464503" w:rsidP="0088646B">
            <w:pPr>
              <w:rPr>
                <w:b/>
              </w:rPr>
            </w:pPr>
            <w:r>
              <w:rPr>
                <w:b/>
              </w:rPr>
              <w:t>VLR UNIT</w:t>
            </w:r>
          </w:p>
        </w:tc>
        <w:tc>
          <w:tcPr>
            <w:tcW w:w="1466" w:type="dxa"/>
          </w:tcPr>
          <w:p w:rsidR="00464503" w:rsidRDefault="00464503" w:rsidP="0088646B">
            <w:pPr>
              <w:rPr>
                <w:b/>
              </w:rPr>
            </w:pPr>
            <w:r>
              <w:rPr>
                <w:b/>
              </w:rPr>
              <w:t>VLR TOTAL</w:t>
            </w:r>
          </w:p>
        </w:tc>
      </w:tr>
      <w:tr w:rsidR="00464503" w:rsidTr="00464503">
        <w:tc>
          <w:tcPr>
            <w:tcW w:w="765" w:type="dxa"/>
            <w:vAlign w:val="center"/>
          </w:tcPr>
          <w:p w:rsidR="00464503" w:rsidRPr="003515F8" w:rsidRDefault="00464503" w:rsidP="003515F8">
            <w:pPr>
              <w:pStyle w:val="PargrafodaLista"/>
              <w:numPr>
                <w:ilvl w:val="0"/>
                <w:numId w:val="12"/>
              </w:numPr>
              <w:jc w:val="center"/>
              <w:rPr>
                <w:b/>
              </w:rPr>
            </w:pPr>
          </w:p>
        </w:tc>
        <w:tc>
          <w:tcPr>
            <w:tcW w:w="3656" w:type="dxa"/>
            <w:vAlign w:val="bottom"/>
          </w:tcPr>
          <w:p w:rsidR="00464503" w:rsidRDefault="00464503" w:rsidP="003515F8">
            <w:pPr>
              <w:rPr>
                <w:color w:val="000000"/>
              </w:rPr>
            </w:pPr>
            <w:r>
              <w:rPr>
                <w:color w:val="000000"/>
              </w:rPr>
              <w:t>Aparelho Ar Condicionado, Hi-Wall, Split Inverter, 24.000 BTU/H, 220V, 60Hz, Quente/Frio, Garantia mínima de 12 meses. Acompanha Controle Remoto. Selo Procel.</w:t>
            </w:r>
          </w:p>
        </w:tc>
        <w:tc>
          <w:tcPr>
            <w:tcW w:w="1246" w:type="dxa"/>
            <w:vAlign w:val="center"/>
          </w:tcPr>
          <w:p w:rsidR="00464503" w:rsidRDefault="00464503" w:rsidP="003515F8">
            <w:pPr>
              <w:jc w:val="center"/>
            </w:pPr>
            <w:r>
              <w:t>UN</w:t>
            </w:r>
          </w:p>
        </w:tc>
        <w:tc>
          <w:tcPr>
            <w:tcW w:w="1412" w:type="dxa"/>
            <w:vAlign w:val="center"/>
          </w:tcPr>
          <w:p w:rsidR="00464503" w:rsidRDefault="00464503" w:rsidP="003515F8">
            <w:pPr>
              <w:jc w:val="center"/>
              <w:rPr>
                <w:rFonts w:eastAsia="Times New Roman"/>
                <w:color w:val="000000"/>
                <w:lang w:val="pt-BR"/>
              </w:rPr>
            </w:pPr>
            <w:r>
              <w:rPr>
                <w:rFonts w:eastAsia="Times New Roman"/>
                <w:color w:val="000000"/>
                <w:lang w:val="pt-BR"/>
              </w:rPr>
              <w:t>03</w:t>
            </w:r>
          </w:p>
        </w:tc>
        <w:tc>
          <w:tcPr>
            <w:tcW w:w="1426" w:type="dxa"/>
            <w:vAlign w:val="center"/>
          </w:tcPr>
          <w:p w:rsidR="00464503" w:rsidRDefault="00464503" w:rsidP="00D830C5">
            <w:pPr>
              <w:rPr>
                <w:color w:val="000000"/>
              </w:rPr>
            </w:pPr>
            <w:r>
              <w:rPr>
                <w:color w:val="000000"/>
              </w:rPr>
              <w:t>R$ 4.331,64</w:t>
            </w:r>
          </w:p>
        </w:tc>
        <w:tc>
          <w:tcPr>
            <w:tcW w:w="1466" w:type="dxa"/>
            <w:vAlign w:val="center"/>
          </w:tcPr>
          <w:p w:rsidR="00464503" w:rsidRDefault="00464503" w:rsidP="00464503">
            <w:pPr>
              <w:jc w:val="center"/>
              <w:rPr>
                <w:color w:val="000000"/>
              </w:rPr>
            </w:pPr>
            <w:r>
              <w:rPr>
                <w:color w:val="000000"/>
              </w:rPr>
              <w:t>R$ 12.994,92</w:t>
            </w:r>
          </w:p>
        </w:tc>
      </w:tr>
      <w:bookmarkEnd w:id="8"/>
      <w:tr w:rsidR="00464503" w:rsidTr="00464503">
        <w:tc>
          <w:tcPr>
            <w:tcW w:w="765" w:type="dxa"/>
            <w:vAlign w:val="center"/>
          </w:tcPr>
          <w:p w:rsidR="00464503" w:rsidRPr="003515F8" w:rsidRDefault="00464503" w:rsidP="00F2088E">
            <w:pPr>
              <w:pStyle w:val="PargrafodaLista"/>
              <w:numPr>
                <w:ilvl w:val="0"/>
                <w:numId w:val="12"/>
              </w:numPr>
              <w:jc w:val="center"/>
              <w:rPr>
                <w:b/>
              </w:rPr>
            </w:pPr>
          </w:p>
        </w:tc>
        <w:tc>
          <w:tcPr>
            <w:tcW w:w="3656" w:type="dxa"/>
            <w:vAlign w:val="bottom"/>
          </w:tcPr>
          <w:p w:rsidR="00464503" w:rsidRDefault="00464503" w:rsidP="00F2088E">
            <w:pPr>
              <w:rPr>
                <w:color w:val="000000"/>
              </w:rPr>
            </w:pPr>
            <w:r>
              <w:rPr>
                <w:color w:val="000000"/>
              </w:rPr>
              <w:t>Aparelho Ar Condicionado, Hi-Wall, Split Inverter, 12.000 BTU/H, 220V, 60Hz, Quente/Frio, Garantia mínima de 12 meses. Acompanha Controle Remoto. Selo Procel.</w:t>
            </w:r>
          </w:p>
        </w:tc>
        <w:tc>
          <w:tcPr>
            <w:tcW w:w="1246" w:type="dxa"/>
            <w:vAlign w:val="center"/>
          </w:tcPr>
          <w:p w:rsidR="00464503" w:rsidRDefault="00464503" w:rsidP="00F2088E">
            <w:pPr>
              <w:jc w:val="center"/>
            </w:pPr>
            <w:r>
              <w:t>UN</w:t>
            </w:r>
          </w:p>
        </w:tc>
        <w:tc>
          <w:tcPr>
            <w:tcW w:w="1412" w:type="dxa"/>
            <w:vAlign w:val="center"/>
          </w:tcPr>
          <w:p w:rsidR="00464503" w:rsidRDefault="00464503" w:rsidP="00F2088E">
            <w:pPr>
              <w:jc w:val="center"/>
              <w:rPr>
                <w:rFonts w:eastAsia="Times New Roman"/>
                <w:color w:val="000000"/>
                <w:lang w:val="pt-BR"/>
              </w:rPr>
            </w:pPr>
            <w:r>
              <w:rPr>
                <w:rFonts w:eastAsia="Times New Roman"/>
                <w:color w:val="000000"/>
                <w:lang w:val="pt-BR"/>
              </w:rPr>
              <w:t>03</w:t>
            </w:r>
          </w:p>
        </w:tc>
        <w:tc>
          <w:tcPr>
            <w:tcW w:w="1426" w:type="dxa"/>
            <w:vAlign w:val="center"/>
          </w:tcPr>
          <w:p w:rsidR="00464503" w:rsidRDefault="00464503" w:rsidP="00F2088E">
            <w:pPr>
              <w:rPr>
                <w:rFonts w:eastAsia="Times New Roman"/>
                <w:color w:val="000000"/>
                <w:lang w:val="pt-BR"/>
              </w:rPr>
            </w:pPr>
            <w:r>
              <w:rPr>
                <w:color w:val="000000"/>
              </w:rPr>
              <w:t>R$ 2.455,47</w:t>
            </w:r>
          </w:p>
        </w:tc>
        <w:tc>
          <w:tcPr>
            <w:tcW w:w="1466" w:type="dxa"/>
            <w:vAlign w:val="center"/>
          </w:tcPr>
          <w:p w:rsidR="00464503" w:rsidRDefault="00464503" w:rsidP="00464503">
            <w:pPr>
              <w:jc w:val="center"/>
              <w:rPr>
                <w:color w:val="000000"/>
              </w:rPr>
            </w:pPr>
            <w:r>
              <w:rPr>
                <w:color w:val="000000"/>
              </w:rPr>
              <w:t>R$ 7.366,41</w:t>
            </w:r>
          </w:p>
        </w:tc>
      </w:tr>
      <w:tr w:rsidR="00464503" w:rsidTr="00464503">
        <w:tc>
          <w:tcPr>
            <w:tcW w:w="765" w:type="dxa"/>
            <w:vAlign w:val="center"/>
          </w:tcPr>
          <w:p w:rsidR="00464503" w:rsidRPr="003515F8" w:rsidRDefault="00464503" w:rsidP="00F2088E">
            <w:pPr>
              <w:pStyle w:val="PargrafodaLista"/>
              <w:numPr>
                <w:ilvl w:val="0"/>
                <w:numId w:val="12"/>
              </w:numPr>
              <w:jc w:val="center"/>
              <w:rPr>
                <w:b/>
              </w:rPr>
            </w:pPr>
          </w:p>
        </w:tc>
        <w:tc>
          <w:tcPr>
            <w:tcW w:w="3656" w:type="dxa"/>
            <w:vAlign w:val="bottom"/>
          </w:tcPr>
          <w:p w:rsidR="00464503" w:rsidRDefault="00464503" w:rsidP="00F2088E">
            <w:pPr>
              <w:rPr>
                <w:color w:val="000000"/>
              </w:rPr>
            </w:pPr>
            <w:r>
              <w:rPr>
                <w:color w:val="000000"/>
              </w:rPr>
              <w:t>Aparelho Ar Condicionado, Hi-Wall, Split Inverter,9.000 BTU/H, 220V, 60Hz, Quente/Frio, Garantia mínima de 12 meses. Acompanha Controle Remoto. Selo Procel.</w:t>
            </w:r>
          </w:p>
        </w:tc>
        <w:tc>
          <w:tcPr>
            <w:tcW w:w="1246" w:type="dxa"/>
            <w:vAlign w:val="center"/>
          </w:tcPr>
          <w:p w:rsidR="00464503" w:rsidRDefault="00464503" w:rsidP="00F2088E">
            <w:pPr>
              <w:jc w:val="center"/>
            </w:pPr>
            <w:r>
              <w:t>UN</w:t>
            </w:r>
          </w:p>
        </w:tc>
        <w:tc>
          <w:tcPr>
            <w:tcW w:w="1412" w:type="dxa"/>
            <w:vAlign w:val="center"/>
          </w:tcPr>
          <w:p w:rsidR="00464503" w:rsidRDefault="00464503" w:rsidP="00F2088E">
            <w:pPr>
              <w:jc w:val="center"/>
              <w:rPr>
                <w:rFonts w:eastAsia="Times New Roman"/>
                <w:color w:val="000000"/>
                <w:lang w:val="pt-BR"/>
              </w:rPr>
            </w:pPr>
            <w:r>
              <w:rPr>
                <w:rFonts w:eastAsia="Times New Roman"/>
                <w:color w:val="000000"/>
                <w:lang w:val="pt-BR"/>
              </w:rPr>
              <w:t>05</w:t>
            </w:r>
          </w:p>
        </w:tc>
        <w:tc>
          <w:tcPr>
            <w:tcW w:w="1426" w:type="dxa"/>
            <w:vAlign w:val="center"/>
          </w:tcPr>
          <w:p w:rsidR="00464503" w:rsidRDefault="00464503" w:rsidP="00F2088E">
            <w:pPr>
              <w:rPr>
                <w:color w:val="000000"/>
              </w:rPr>
            </w:pPr>
            <w:r>
              <w:rPr>
                <w:color w:val="000000"/>
              </w:rPr>
              <w:t>R$ 2.168,62</w:t>
            </w:r>
          </w:p>
        </w:tc>
        <w:tc>
          <w:tcPr>
            <w:tcW w:w="1466" w:type="dxa"/>
            <w:vAlign w:val="center"/>
          </w:tcPr>
          <w:p w:rsidR="00464503" w:rsidRDefault="00464503" w:rsidP="00464503">
            <w:pPr>
              <w:jc w:val="center"/>
              <w:rPr>
                <w:color w:val="000000"/>
              </w:rPr>
            </w:pPr>
            <w:r>
              <w:rPr>
                <w:color w:val="000000"/>
              </w:rPr>
              <w:t>R$ 10.843,10</w:t>
            </w:r>
          </w:p>
        </w:tc>
      </w:tr>
    </w:tbl>
    <w:p w:rsidR="006B44EC" w:rsidRDefault="006B44EC" w:rsidP="004C485E">
      <w:pPr>
        <w:ind w:left="424" w:right="1"/>
        <w:jc w:val="center"/>
        <w:rPr>
          <w:b/>
        </w:rPr>
      </w:pPr>
    </w:p>
    <w:p w:rsidR="004C485E" w:rsidRDefault="004C485E"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131B89" w:rsidRDefault="00131B89">
      <w:pPr>
        <w:ind w:left="424" w:right="1"/>
        <w:jc w:val="center"/>
        <w:rPr>
          <w:b/>
        </w:rPr>
      </w:pPr>
      <w:r>
        <w:rPr>
          <w:b/>
        </w:rPr>
        <w:lastRenderedPageBreak/>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8314A7">
        <w:rPr>
          <w:b/>
          <w:spacing w:val="-3"/>
        </w:rPr>
        <w:t>3</w:t>
      </w:r>
      <w:r w:rsidR="00464503">
        <w:rPr>
          <w:b/>
          <w:spacing w:val="-3"/>
        </w:rPr>
        <w:t>8</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w:t>
      </w:r>
      <w:r w:rsidR="00464503">
        <w:rPr>
          <w:b/>
          <w:spacing w:val="-3"/>
        </w:rPr>
        <w:t>8</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w:t>
      </w:r>
      <w:r w:rsidR="00464503">
        <w:rPr>
          <w:b/>
          <w:spacing w:val="-3"/>
        </w:rPr>
        <w:t>8</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372" w:rsidRDefault="00AC7372">
      <w:r>
        <w:separator/>
      </w:r>
    </w:p>
  </w:endnote>
  <w:endnote w:type="continuationSeparator" w:id="0">
    <w:p w:rsidR="00AC7372" w:rsidRDefault="00AC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372" w:rsidRDefault="00AC7372">
      <w:r>
        <w:separator/>
      </w:r>
    </w:p>
  </w:footnote>
  <w:footnote w:type="continuationSeparator" w:id="0">
    <w:p w:rsidR="00AC7372" w:rsidRDefault="00AC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F2088E" w:rsidRPr="0052730C" w:rsidRDefault="00F2088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2088E" w:rsidRPr="0052730C" w:rsidRDefault="00F2088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F2088E" w:rsidRDefault="00F2088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2088E" w:rsidRPr="0052730C" w:rsidRDefault="00F2088E">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F2088E" w:rsidRPr="0052730C" w:rsidRDefault="00F2088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2088E" w:rsidRPr="0052730C" w:rsidRDefault="00F2088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F2088E" w:rsidRDefault="00F2088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2088E" w:rsidRPr="0052730C" w:rsidRDefault="00F2088E">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622FF"/>
    <w:rsid w:val="002808B8"/>
    <w:rsid w:val="00287425"/>
    <w:rsid w:val="00287474"/>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718F"/>
    <w:rsid w:val="004F20DD"/>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B44EC"/>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A69B4"/>
    <w:rsid w:val="00AB0DB4"/>
    <w:rsid w:val="00AC7372"/>
    <w:rsid w:val="00B229F8"/>
    <w:rsid w:val="00B410FF"/>
    <w:rsid w:val="00B71038"/>
    <w:rsid w:val="00B72333"/>
    <w:rsid w:val="00B76F96"/>
    <w:rsid w:val="00BF1BE9"/>
    <w:rsid w:val="00BF3449"/>
    <w:rsid w:val="00C14634"/>
    <w:rsid w:val="00C72E2F"/>
    <w:rsid w:val="00C8697A"/>
    <w:rsid w:val="00C96DA1"/>
    <w:rsid w:val="00CC63E7"/>
    <w:rsid w:val="00CD6CC6"/>
    <w:rsid w:val="00D34728"/>
    <w:rsid w:val="00D830C5"/>
    <w:rsid w:val="00D85623"/>
    <w:rsid w:val="00D918EF"/>
    <w:rsid w:val="00D969AE"/>
    <w:rsid w:val="00DA2B1F"/>
    <w:rsid w:val="00DD1FA6"/>
    <w:rsid w:val="00DE0EBD"/>
    <w:rsid w:val="00E05F8F"/>
    <w:rsid w:val="00E601FA"/>
    <w:rsid w:val="00E6063F"/>
    <w:rsid w:val="00EA6F05"/>
    <w:rsid w:val="00EB0018"/>
    <w:rsid w:val="00ED24F1"/>
    <w:rsid w:val="00EE4BE5"/>
    <w:rsid w:val="00F15F2E"/>
    <w:rsid w:val="00F2088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59D46"/>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8972</Words>
  <Characters>48453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2</cp:revision>
  <cp:lastPrinted>2025-12-02T11:55:00Z</cp:lastPrinted>
  <dcterms:created xsi:type="dcterms:W3CDTF">2025-12-02T11:55:00Z</dcterms:created>
  <dcterms:modified xsi:type="dcterms:W3CDTF">2025-12-02T11:55:00Z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