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75031C9D"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EC566E">
        <w:rPr>
          <w:rFonts w:ascii="Arial" w:hAnsi="Arial" w:cs="Arial"/>
          <w:i/>
          <w:iCs/>
          <w:color w:val="5B5B5F"/>
          <w:sz w:val="28"/>
          <w:szCs w:val="28"/>
        </w:rPr>
        <w:t>1</w:t>
      </w:r>
      <w:r w:rsidR="006424D3">
        <w:rPr>
          <w:rFonts w:ascii="Arial" w:hAnsi="Arial" w:cs="Arial"/>
          <w:i/>
          <w:iCs/>
          <w:color w:val="5B5B5F"/>
          <w:sz w:val="28"/>
          <w:szCs w:val="28"/>
        </w:rPr>
        <w:t>2</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05E91A47"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REGISTRO DE PREÇO PARA AQUISIÇÃO DE APARELHO DE ULTRASSOM</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1873D62B"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EC566E" w:rsidRPr="00EC566E">
        <w:rPr>
          <w:rFonts w:ascii="Arial" w:hAnsi="Arial" w:cs="Arial"/>
          <w:b/>
          <w:bCs/>
          <w:color w:val="5B5B5F"/>
          <w:sz w:val="28"/>
          <w:szCs w:val="28"/>
        </w:rPr>
        <w:t xml:space="preserve">R$ </w:t>
      </w:r>
      <w:r w:rsidR="006424D3">
        <w:rPr>
          <w:rFonts w:ascii="Arial" w:hAnsi="Arial" w:cs="Arial"/>
          <w:b/>
          <w:bCs/>
          <w:color w:val="5B5B5F"/>
          <w:sz w:val="28"/>
          <w:szCs w:val="28"/>
        </w:rPr>
        <w:t>153.100,00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57DD147F"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EF317E">
        <w:rPr>
          <w:rFonts w:ascii="Arial" w:hAnsi="Arial" w:cs="Arial"/>
          <w:b/>
          <w:color w:val="5B5B5F"/>
          <w:sz w:val="28"/>
          <w:szCs w:val="28"/>
        </w:rPr>
        <w:t>05/08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 xml:space="preserve">às </w:t>
      </w:r>
      <w:r w:rsidR="00EF317E">
        <w:rPr>
          <w:rFonts w:ascii="Arial" w:hAnsi="Arial" w:cs="Arial"/>
          <w:b/>
          <w:color w:val="5B5B5F"/>
          <w:sz w:val="28"/>
          <w:szCs w:val="28"/>
        </w:rPr>
        <w:t>13</w:t>
      </w:r>
      <w:r w:rsidR="00912E6D" w:rsidRPr="00E4367D">
        <w:rPr>
          <w:rFonts w:ascii="Arial" w:hAnsi="Arial" w:cs="Arial"/>
          <w:b/>
          <w:color w:val="5B5B5F"/>
          <w:sz w:val="28"/>
          <w:szCs w:val="28"/>
        </w:rPr>
        <w:t>h</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77777777" w:rsidR="00E4367D" w:rsidRDefault="00E4367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52744EC2"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1</w:t>
      </w:r>
      <w:r w:rsidR="00EF317E">
        <w:rPr>
          <w:rFonts w:cs="Arial"/>
          <w:b/>
          <w:bCs/>
          <w:i w:val="0"/>
          <w:iCs w:val="0"/>
        </w:rPr>
        <w:t>2</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48524190"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4367D">
        <w:rPr>
          <w:rFonts w:ascii="Arial" w:hAnsi="Arial" w:cs="Arial"/>
          <w:b/>
          <w:color w:val="000000"/>
          <w:sz w:val="20"/>
          <w:szCs w:val="20"/>
        </w:rPr>
        <w:t>12/2024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7B38819B"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E4367D">
        <w:t>APARELHO DE ULTRASSOM</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lastRenderedPageBreak/>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0" w:name="_Ref117000692"/>
      <w:r w:rsidRPr="58B543D9">
        <w:t xml:space="preserve">Não </w:t>
      </w:r>
      <w:r w:rsidRPr="00535637">
        <w:t>poderão</w:t>
      </w:r>
      <w:r w:rsidRPr="58B543D9">
        <w:t xml:space="preserve"> disputar esta licitação:</w:t>
      </w:r>
      <w:bookmarkEnd w:id="0"/>
    </w:p>
    <w:p w14:paraId="341C241D" w14:textId="77777777" w:rsidR="003C7A23" w:rsidRPr="006E1990" w:rsidRDefault="003C7A23" w:rsidP="00535637">
      <w:pPr>
        <w:pStyle w:val="Nivel3"/>
      </w:pPr>
      <w:bookmarkStart w:id="1" w:name="_Ref113883338"/>
      <w:r w:rsidRPr="006E1990">
        <w:t>aquele que não atenda às condições deste Edital e seu(s) anexo(s);</w:t>
      </w:r>
    </w:p>
    <w:p w14:paraId="36A2458D" w14:textId="77777777" w:rsidR="003C7A23" w:rsidRPr="004A0EA0" w:rsidRDefault="003C7A23" w:rsidP="00535637">
      <w:pPr>
        <w:pStyle w:val="Nivel3"/>
      </w:pPr>
      <w:bookmarkStart w:id="2" w:name="_Ref114659912"/>
      <w:r w:rsidRPr="004A0EA0">
        <w:t>autor do anteprojeto, do projeto básico ou do projeto executivo, pessoa física ou jurídica, quando a licitação versar sobre serviços ou fornecimento de bens a ele relacionados;</w:t>
      </w:r>
      <w:bookmarkEnd w:id="1"/>
      <w:bookmarkEnd w:id="2"/>
    </w:p>
    <w:p w14:paraId="0A5303F9" w14:textId="77777777" w:rsidR="003C7A23" w:rsidRPr="004A0EA0" w:rsidRDefault="003C7A23" w:rsidP="00535637">
      <w:pPr>
        <w:pStyle w:val="Nivel3"/>
      </w:pPr>
      <w:bookmarkStart w:id="3" w:name="_Ref114659913"/>
      <w:bookmarkStart w:id="4"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4A0EA0">
        <w:t xml:space="preserve"> </w:t>
      </w:r>
      <w:bookmarkEnd w:id="4"/>
    </w:p>
    <w:p w14:paraId="2DCC2174" w14:textId="77777777" w:rsidR="003C7A23" w:rsidRPr="006E1990" w:rsidRDefault="003C7A23" w:rsidP="00535637">
      <w:pPr>
        <w:pStyle w:val="Nivel3"/>
      </w:pPr>
      <w:bookmarkStart w:id="5"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5"/>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6" w:name="_Ref113883579"/>
      <w:r w:rsidRPr="006E1990">
        <w:t>empresas controladoras, controladas ou coligadas, nos termos da Lei nº 6.404, de 15 de dezembro de 1976, concorrendo entre si;</w:t>
      </w:r>
      <w:bookmarkEnd w:id="6"/>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7" w:name="_Ref113962336"/>
      <w:r w:rsidRPr="006E1990">
        <w:t xml:space="preserve">agente </w:t>
      </w:r>
      <w:r w:rsidRPr="00535637">
        <w:t>público</w:t>
      </w:r>
      <w:r w:rsidRPr="006E1990">
        <w:t xml:space="preserve"> do órgão ou entidade licitante;</w:t>
      </w:r>
      <w:bookmarkEnd w:id="7"/>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8" w:name="art14§2"/>
      <w:bookmarkEnd w:id="8"/>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9" w:name="art14§3"/>
      <w:bookmarkEnd w:id="9"/>
      <w:r w:rsidRPr="00535637">
        <w:t>Equiparam-se aos autores do projeto as empresas integrantes do mesmo grupo econômico.</w:t>
      </w:r>
    </w:p>
    <w:p w14:paraId="144ECC01" w14:textId="7DAF73ED" w:rsidR="003C7A23" w:rsidRPr="004A0EA0" w:rsidRDefault="003C7A23" w:rsidP="00535637">
      <w:pPr>
        <w:pStyle w:val="Nivel2"/>
      </w:pPr>
      <w:bookmarkStart w:id="10" w:name="art14§4"/>
      <w:bookmarkEnd w:id="10"/>
      <w:r>
        <w:lastRenderedPageBreak/>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1" w:name="art14§5"/>
      <w:bookmarkEnd w:id="11"/>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2"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7CBEF247" w14:textId="7D9D62C9" w:rsidR="003C7A23" w:rsidRPr="006E1990" w:rsidRDefault="003C7A23" w:rsidP="00535637">
      <w:pPr>
        <w:pStyle w:val="Nivel2"/>
      </w:pPr>
      <w:bookmarkStart w:id="13"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w:t>
      </w:r>
      <w:bookmarkStart w:id="14" w:name="_GoBack"/>
      <w:bookmarkEnd w:id="14"/>
      <w:r w:rsidRPr="006E1990">
        <w:t xml:space="preserve">o preço ou o percentual de desconto, observado o disposto </w:t>
      </w:r>
      <w:r w:rsidR="00401553">
        <w:t>n</w:t>
      </w:r>
      <w:r w:rsidRPr="006E1990">
        <w:t>este Edital.</w:t>
      </w:r>
      <w:bookmarkEnd w:id="13"/>
    </w:p>
    <w:p w14:paraId="44617891" w14:textId="77777777" w:rsidR="003C7A23" w:rsidRPr="006E1990" w:rsidRDefault="003C7A23" w:rsidP="00535637">
      <w:pPr>
        <w:pStyle w:val="Nivel2"/>
      </w:pPr>
      <w:bookmarkStart w:id="15" w:name="_Ref113968921"/>
      <w:r w:rsidRPr="58B543D9">
        <w:t xml:space="preserve">No </w:t>
      </w:r>
      <w:r w:rsidRPr="00535637">
        <w:t>cadastramento</w:t>
      </w:r>
      <w:r w:rsidRPr="58B543D9">
        <w:t xml:space="preserve"> da proposta inicial, o licitante declarará, em campo próprio do sistema, que:</w:t>
      </w:r>
      <w:bookmarkEnd w:id="15"/>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6"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w:t>
      </w:r>
      <w:r>
        <w:lastRenderedPageBreak/>
        <w:t xml:space="preserve">do tratamento favorecido estabelecido em seus </w:t>
      </w:r>
      <w:bookmarkEnd w:id="16"/>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7"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7"/>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8"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9"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0" w:name="_Hlk113697816"/>
      <w:bookmarkEnd w:id="19"/>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1" w:name="_Hlk113631522"/>
      <w:bookmarkEnd w:id="20"/>
    </w:p>
    <w:bookmarkEnd w:id="21"/>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2"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3" w:name="_Ref116973524"/>
      <w:bookmarkEnd w:id="22"/>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3"/>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4" w:name="art60§1i"/>
      <w:bookmarkEnd w:id="24"/>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5" w:name="art60§1ii"/>
      <w:bookmarkEnd w:id="25"/>
      <w:r w:rsidRPr="00B9651D">
        <w:t>empresas</w:t>
      </w:r>
      <w:r w:rsidRPr="006E1990">
        <w:t xml:space="preserve"> brasileiras;</w:t>
      </w:r>
    </w:p>
    <w:p w14:paraId="3C7CB0B5" w14:textId="77777777" w:rsidR="003C7A23" w:rsidRPr="006E1990" w:rsidRDefault="003C7A23" w:rsidP="00B9651D">
      <w:pPr>
        <w:pStyle w:val="Nivel4"/>
      </w:pPr>
      <w:bookmarkStart w:id="26" w:name="art60§1iii"/>
      <w:bookmarkEnd w:id="26"/>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7" w:name="art60§1iv"/>
      <w:bookmarkEnd w:id="27"/>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8" w:name="_Hlk117016948"/>
    </w:p>
    <w:bookmarkEnd w:id="28"/>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8"/>
    </w:p>
    <w:p w14:paraId="5A499404" w14:textId="77777777" w:rsidR="003C7A23" w:rsidRPr="006E1990" w:rsidRDefault="003C7A23" w:rsidP="00A974BD">
      <w:pPr>
        <w:pStyle w:val="Nivel01"/>
      </w:pPr>
      <w:r w:rsidRPr="006E1990">
        <w:t>DA FASE DE JULGAMENTO</w:t>
      </w:r>
    </w:p>
    <w:p w14:paraId="53C049A6" w14:textId="27B1DED5" w:rsidR="003C7A23" w:rsidRPr="006E1990" w:rsidRDefault="003C7A23" w:rsidP="00B9651D">
      <w:pPr>
        <w:pStyle w:val="Nivel2"/>
        <w:rPr>
          <w:b/>
          <w:bCs/>
          <w:lang w:eastAsia="ar-SA"/>
        </w:rPr>
      </w:pPr>
      <w:bookmarkStart w:id="29"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29"/>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0"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0"/>
    <w:p w14:paraId="1C5C73A9" w14:textId="09E53DDA"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B83270">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1"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1"/>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2" w:name="_Hlk126568356"/>
      <w:r w:rsidRPr="006E1990">
        <w:t>Em se tratando de serviços de engenharia, o licitante vencedor será convocado a apresentar à Administração, por meio eletrônico, as planilhas com indicação dos quantitativos e dos custos unitários</w:t>
      </w:r>
      <w:bookmarkEnd w:id="32"/>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3"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3"/>
    </w:p>
    <w:p w14:paraId="4506CAE4" w14:textId="26CEFF7E" w:rsidR="003C7A23" w:rsidRPr="00B9651D" w:rsidRDefault="003C7A23" w:rsidP="00B9651D">
      <w:pPr>
        <w:pStyle w:val="Nivel2"/>
      </w:pPr>
      <w:bookmarkStart w:id="34"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bookmarkEnd w:id="34"/>
      <w:r w:rsidR="00B83270">
        <w:t>.</w:t>
      </w:r>
    </w:p>
    <w:p w14:paraId="30A25CB4" w14:textId="77777777" w:rsidR="003C7A23" w:rsidRPr="00B9651D" w:rsidRDefault="003C7A23" w:rsidP="00B9651D">
      <w:pPr>
        <w:pStyle w:val="Nivel2"/>
      </w:pPr>
      <w:bookmarkStart w:id="35" w:name="_Ref114665515"/>
      <w:r w:rsidRPr="00B9651D">
        <w:t>Somente serão disponibilizados para acesso público os documentos de habilitação do licitante cuja proposta atenda ao edital de licitação, após concluídos os procedimentos de que trata o subitem anterior</w:t>
      </w:r>
      <w:bookmarkEnd w:id="35"/>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r w:rsidRPr="00686387">
        <w:t>DA ATA DE REGISTRO DE PREÇOS</w:t>
      </w:r>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6" w:name="_Hlk132991372"/>
      <w:r w:rsidRPr="00686387">
        <w:t xml:space="preserve">que </w:t>
      </w:r>
      <w:bookmarkStart w:id="37"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6"/>
      <w:r w:rsidRPr="00686387">
        <w:t>o</w:t>
      </w:r>
      <w:bookmarkEnd w:id="37"/>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lastRenderedPageBreak/>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141C78F" w:rsidR="00967E57" w:rsidRPr="0066274F" w:rsidRDefault="00967E57" w:rsidP="00967E57">
      <w:pPr>
        <w:pStyle w:val="Nivel01"/>
        <w:numPr>
          <w:ilvl w:val="0"/>
          <w:numId w:val="0"/>
        </w:numPr>
        <w:ind w:left="360"/>
      </w:pPr>
      <w:r w:rsidRPr="0066274F">
        <w:t xml:space="preserve">SECRETARIA MUNICIPAL DE </w:t>
      </w:r>
      <w:r w:rsidR="00E4367D" w:rsidRPr="0066274F">
        <w:t>SAÚDE</w:t>
      </w:r>
    </w:p>
    <w:p w14:paraId="243344AE" w14:textId="3C4693F0" w:rsidR="00967E57" w:rsidRPr="0066274F" w:rsidRDefault="00967E57" w:rsidP="00967E57">
      <w:pPr>
        <w:pStyle w:val="Nivel01"/>
        <w:numPr>
          <w:ilvl w:val="0"/>
          <w:numId w:val="0"/>
        </w:numPr>
        <w:ind w:left="360"/>
      </w:pPr>
      <w:r w:rsidRPr="0066274F">
        <w:t>Órgão: 0</w:t>
      </w:r>
      <w:r w:rsidR="0066274F" w:rsidRPr="0066274F">
        <w:t>8</w:t>
      </w:r>
    </w:p>
    <w:p w14:paraId="5DDE955C" w14:textId="1310F1F9" w:rsidR="00967E57" w:rsidRPr="0066274F" w:rsidRDefault="00967E57" w:rsidP="00967E57">
      <w:pPr>
        <w:pStyle w:val="Nivel01"/>
        <w:numPr>
          <w:ilvl w:val="0"/>
          <w:numId w:val="0"/>
        </w:numPr>
        <w:ind w:left="360"/>
      </w:pPr>
      <w:r w:rsidRPr="0066274F">
        <w:t>Unidade: 0</w:t>
      </w:r>
      <w:r w:rsidR="0066274F" w:rsidRPr="0066274F">
        <w:t>8</w:t>
      </w:r>
      <w:r w:rsidRPr="0066274F">
        <w:t>.0</w:t>
      </w:r>
      <w:r w:rsidR="0066274F" w:rsidRPr="0066274F">
        <w:t>1</w:t>
      </w:r>
    </w:p>
    <w:p w14:paraId="2EDF5D50" w14:textId="4072B81C" w:rsidR="009556D2" w:rsidRPr="0066274F" w:rsidRDefault="00967E57" w:rsidP="009556D2">
      <w:pPr>
        <w:pStyle w:val="Nivel01"/>
        <w:numPr>
          <w:ilvl w:val="0"/>
          <w:numId w:val="0"/>
        </w:numPr>
        <w:ind w:left="360"/>
      </w:pPr>
      <w:r w:rsidRPr="0066274F">
        <w:t>Elemento: 3.3.90.3</w:t>
      </w:r>
      <w:r w:rsidR="0066274F" w:rsidRPr="0066274F">
        <w:t>9</w:t>
      </w:r>
      <w:r w:rsidRPr="0066274F">
        <w:t>.00.00.00</w:t>
      </w:r>
      <w:r w:rsidR="009556D2" w:rsidRPr="0066274F">
        <w:t xml:space="preserve"> </w:t>
      </w:r>
    </w:p>
    <w:p w14:paraId="55125618" w14:textId="35DEC9E7" w:rsidR="009556D2" w:rsidRPr="0066274F" w:rsidRDefault="009556D2" w:rsidP="009556D2">
      <w:pPr>
        <w:pStyle w:val="Nivel01"/>
        <w:numPr>
          <w:ilvl w:val="0"/>
          <w:numId w:val="0"/>
        </w:numPr>
        <w:ind w:left="360"/>
      </w:pPr>
      <w:r w:rsidRPr="0066274F">
        <w:t xml:space="preserve">Recurso: </w:t>
      </w:r>
      <w:r w:rsidR="0066274F" w:rsidRPr="0066274F">
        <w:t>4505</w:t>
      </w:r>
    </w:p>
    <w:p w14:paraId="54656DDC" w14:textId="24C1F346" w:rsidR="009556D2" w:rsidRPr="009556D2" w:rsidRDefault="00967E57" w:rsidP="009556D2">
      <w:pPr>
        <w:pStyle w:val="Nivel01"/>
        <w:numPr>
          <w:ilvl w:val="0"/>
          <w:numId w:val="0"/>
        </w:numPr>
        <w:ind w:left="360"/>
      </w:pPr>
      <w:r w:rsidRPr="0066274F">
        <w:t xml:space="preserve">Código Reduzido: </w:t>
      </w:r>
      <w:r w:rsidR="0066274F" w:rsidRPr="0066274F">
        <w:t>407</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lastRenderedPageBreak/>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8" w:name="_Hlk135318381"/>
      <w:bookmarkStart w:id="39" w:name="_Hlk135315794"/>
      <w:r w:rsidRPr="00686387">
        <w:t>o prazo para a manifestação da intenção de recorrer não será inferior a 10 (dez) minutos.</w:t>
      </w:r>
      <w:bookmarkEnd w:id="38"/>
    </w:p>
    <w:bookmarkEnd w:id="3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40" w:name="_Ref114668085"/>
      <w:bookmarkStart w:id="41" w:name="_Hlk114652595"/>
      <w:r w:rsidRPr="00447F3E">
        <w:t>deixar de entregar a documentação exigida para o certame ou não entregar qualquer documento que tenha sido solicitado pelo/a pregoeiro/a durante o certame;</w:t>
      </w:r>
      <w:bookmarkEnd w:id="40"/>
    </w:p>
    <w:p w14:paraId="6D9E96AB" w14:textId="77777777" w:rsidR="003C7A23" w:rsidRPr="00447F3E" w:rsidRDefault="003C7A23" w:rsidP="00447F3E">
      <w:pPr>
        <w:pStyle w:val="Nivel3"/>
      </w:pPr>
      <w:bookmarkStart w:id="42" w:name="_Ref114668108"/>
      <w:r w:rsidRPr="00447F3E">
        <w:t>Salvo em decorrência de fato superveniente devidamente justificado, não mantiver a proposta em especial quando:</w:t>
      </w:r>
      <w:bookmarkEnd w:id="42"/>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lastRenderedPageBreak/>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3" w:name="_Ref114668139"/>
      <w:r w:rsidRPr="006E1990">
        <w:t>não celebrar o contrato ou não entregar a documentação exigida para a contratação, quando convocado dentro do prazo de validade de sua proposta;</w:t>
      </w:r>
      <w:bookmarkEnd w:id="43"/>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4" w:name="_Ref114668249"/>
      <w:r w:rsidRPr="00447F3E">
        <w:t>apresentar declaração ou documentação falsa exigida para o certame ou prestar declaração falsa durante a licitação</w:t>
      </w:r>
      <w:bookmarkEnd w:id="44"/>
    </w:p>
    <w:p w14:paraId="301BADD7" w14:textId="77777777" w:rsidR="003C7A23" w:rsidRPr="00447F3E" w:rsidRDefault="003C7A23" w:rsidP="00447F3E">
      <w:pPr>
        <w:pStyle w:val="Nivel3"/>
      </w:pPr>
      <w:bookmarkStart w:id="45" w:name="_Ref114668245"/>
      <w:r w:rsidRPr="00447F3E">
        <w:t>fraudar a licitação</w:t>
      </w:r>
      <w:bookmarkEnd w:id="45"/>
    </w:p>
    <w:p w14:paraId="30E8E806" w14:textId="77777777" w:rsidR="003C7A23" w:rsidRPr="00447F3E" w:rsidRDefault="003C7A23" w:rsidP="00447F3E">
      <w:pPr>
        <w:pStyle w:val="Nivel3"/>
      </w:pPr>
      <w:bookmarkStart w:id="46" w:name="_Ref114668247"/>
      <w:r w:rsidRPr="00447F3E">
        <w:t>comportar-se de modo inidôneo ou cometer fraude de qualquer natureza, em especial quando:</w:t>
      </w:r>
      <w:bookmarkEnd w:id="46"/>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7" w:name="_Ref114668251"/>
      <w:r w:rsidRPr="00447F3E">
        <w:t>praticar atos ilícitos com vistas a frustrar os objetivos da licitação</w:t>
      </w:r>
      <w:bookmarkEnd w:id="47"/>
    </w:p>
    <w:p w14:paraId="28FBD17A" w14:textId="6BA949DB" w:rsidR="003C7A23" w:rsidRPr="00447F3E" w:rsidRDefault="003C7A23" w:rsidP="00447F3E">
      <w:pPr>
        <w:pStyle w:val="Nivel3"/>
      </w:pPr>
      <w:bookmarkStart w:id="48"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8"/>
    </w:p>
    <w:bookmarkEnd w:id="41"/>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49" w:name="_Hlk113876035"/>
      <w:r w:rsidRPr="00686387">
        <w:rPr>
          <w:color w:val="auto"/>
        </w:rPr>
        <w:lastRenderedPageBreak/>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49"/>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lastRenderedPageBreak/>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50"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lastRenderedPageBreak/>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7DAA5360"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EF317E">
        <w:rPr>
          <w:rFonts w:ascii="Arial" w:eastAsia="MS Mincho" w:hAnsi="Arial" w:cs="Arial"/>
          <w:color w:val="000000"/>
          <w:sz w:val="20"/>
          <w:szCs w:val="20"/>
        </w:rPr>
        <w:t>23</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F317E">
        <w:rPr>
          <w:rFonts w:ascii="Arial" w:eastAsia="MS Mincho" w:hAnsi="Arial" w:cs="Arial"/>
          <w:color w:val="000000"/>
          <w:sz w:val="20"/>
          <w:szCs w:val="20"/>
        </w:rPr>
        <w:t>julho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1F5D9065"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66274F">
        <w:rPr>
          <w:rFonts w:ascii="Arial" w:eastAsia="MS Mincho" w:hAnsi="Arial" w:cs="Arial"/>
          <w:color w:val="000000"/>
          <w:sz w:val="20"/>
          <w:szCs w:val="20"/>
        </w:rPr>
        <w:t>APARELHO DE ULTRASSOM</w:t>
      </w:r>
      <w:r w:rsidR="00EC566E" w:rsidRPr="00EC566E">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9320" w:type="dxa"/>
        <w:tblCellMar>
          <w:left w:w="70" w:type="dxa"/>
          <w:right w:w="70" w:type="dxa"/>
        </w:tblCellMar>
        <w:tblLook w:val="04A0" w:firstRow="1" w:lastRow="0" w:firstColumn="1" w:lastColumn="0" w:noHBand="0" w:noVBand="1"/>
      </w:tblPr>
      <w:tblGrid>
        <w:gridCol w:w="900"/>
        <w:gridCol w:w="5060"/>
        <w:gridCol w:w="580"/>
        <w:gridCol w:w="523"/>
        <w:gridCol w:w="941"/>
        <w:gridCol w:w="1460"/>
      </w:tblGrid>
      <w:tr w:rsidR="00482152" w:rsidRPr="00482152" w14:paraId="4D17D42D" w14:textId="77777777" w:rsidTr="00482152">
        <w:trPr>
          <w:trHeight w:val="22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50"/>
          <w:p w14:paraId="371216EC" w14:textId="77777777" w:rsidR="00482152" w:rsidRPr="00482152" w:rsidRDefault="00482152" w:rsidP="00482152">
            <w:pPr>
              <w:jc w:val="cente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ITEM</w:t>
            </w:r>
          </w:p>
        </w:tc>
        <w:tc>
          <w:tcPr>
            <w:tcW w:w="5060" w:type="dxa"/>
            <w:tcBorders>
              <w:top w:val="single" w:sz="4" w:space="0" w:color="auto"/>
              <w:left w:val="nil"/>
              <w:bottom w:val="single" w:sz="4" w:space="0" w:color="auto"/>
              <w:right w:val="single" w:sz="4" w:space="0" w:color="auto"/>
            </w:tcBorders>
            <w:shd w:val="clear" w:color="auto" w:fill="auto"/>
            <w:noWrap/>
            <w:vAlign w:val="bottom"/>
            <w:hideMark/>
          </w:tcPr>
          <w:p w14:paraId="4C0623E4"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DESCRIÇÃO</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14:paraId="229BB899"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UNID.</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4B058618"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QTD.</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2DF62F9F"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MEDIANA</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14:paraId="588DA5A0" w14:textId="77777777" w:rsidR="00482152" w:rsidRPr="00482152" w:rsidRDefault="00482152" w:rsidP="00482152">
            <w:pPr>
              <w:rPr>
                <w:rFonts w:ascii="Arial" w:eastAsia="Times New Roman" w:hAnsi="Arial" w:cs="Arial"/>
                <w:b/>
                <w:bCs/>
                <w:color w:val="000000"/>
                <w:sz w:val="16"/>
                <w:szCs w:val="16"/>
              </w:rPr>
            </w:pPr>
            <w:r w:rsidRPr="00482152">
              <w:rPr>
                <w:rFonts w:ascii="Arial" w:eastAsia="Times New Roman" w:hAnsi="Arial" w:cs="Arial"/>
                <w:b/>
                <w:bCs/>
                <w:color w:val="000000"/>
                <w:sz w:val="16"/>
                <w:szCs w:val="16"/>
              </w:rPr>
              <w:t>TOTAL MEDIANA</w:t>
            </w:r>
          </w:p>
        </w:tc>
      </w:tr>
      <w:tr w:rsidR="00482152" w:rsidRPr="00482152" w14:paraId="6F2681D6" w14:textId="77777777" w:rsidTr="00401264">
        <w:trPr>
          <w:trHeight w:val="22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14:paraId="26338F27" w14:textId="77777777" w:rsidR="00482152" w:rsidRPr="00482152" w:rsidRDefault="00482152" w:rsidP="00482152">
            <w:pPr>
              <w:jc w:val="center"/>
              <w:rPr>
                <w:rFonts w:ascii="Arial" w:eastAsia="Times New Roman" w:hAnsi="Arial" w:cs="Arial"/>
                <w:color w:val="000000"/>
                <w:sz w:val="16"/>
                <w:szCs w:val="16"/>
              </w:rPr>
            </w:pPr>
            <w:r w:rsidRPr="00482152">
              <w:rPr>
                <w:rFonts w:ascii="Arial" w:eastAsia="Times New Roman" w:hAnsi="Arial" w:cs="Arial"/>
                <w:color w:val="000000"/>
                <w:sz w:val="16"/>
                <w:szCs w:val="16"/>
              </w:rPr>
              <w:t>1</w:t>
            </w:r>
          </w:p>
        </w:tc>
        <w:tc>
          <w:tcPr>
            <w:tcW w:w="5060" w:type="dxa"/>
            <w:tcBorders>
              <w:top w:val="nil"/>
              <w:left w:val="nil"/>
              <w:bottom w:val="single" w:sz="4" w:space="0" w:color="auto"/>
              <w:right w:val="single" w:sz="4" w:space="0" w:color="auto"/>
            </w:tcBorders>
            <w:shd w:val="clear" w:color="auto" w:fill="auto"/>
            <w:noWrap/>
            <w:vAlign w:val="bottom"/>
          </w:tcPr>
          <w:p w14:paraId="42F60FC1" w14:textId="77777777" w:rsidR="00401264"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Equipamento de Ultrassonografia Eletrônico, com plataforma digital de alta resolução destinado a aplicações de diagnóstico por imagem, capaz de realizar os seguintes exames:</w:t>
            </w:r>
            <w:r>
              <w:rPr>
                <w:rFonts w:ascii="Arial" w:eastAsia="Times New Roman" w:hAnsi="Arial" w:cs="Arial"/>
                <w:color w:val="000000"/>
                <w:sz w:val="16"/>
                <w:szCs w:val="16"/>
              </w:rPr>
              <w:br/>
              <w:t>a) Imagem Geral (</w:t>
            </w:r>
            <w:proofErr w:type="spellStart"/>
            <w:r>
              <w:rPr>
                <w:rFonts w:ascii="Arial" w:eastAsia="Times New Roman" w:hAnsi="Arial" w:cs="Arial"/>
                <w:color w:val="000000"/>
                <w:sz w:val="16"/>
                <w:szCs w:val="16"/>
              </w:rPr>
              <w:t>adulto</w:t>
            </w:r>
            <w:proofErr w:type="spellEnd"/>
            <w:r>
              <w:rPr>
                <w:rFonts w:ascii="Arial" w:eastAsia="Times New Roman" w:hAnsi="Arial" w:cs="Arial"/>
                <w:color w:val="000000"/>
                <w:sz w:val="16"/>
                <w:szCs w:val="16"/>
              </w:rPr>
              <w:t xml:space="preserve"> e pediátrico);</w:t>
            </w:r>
          </w:p>
          <w:p w14:paraId="47ACC63C" w14:textId="77777777" w:rsidR="00401264"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b) Imagens Abdominais: Fígado, rins, pâncreas, baço, vesícula biliar e dutos biliares. Protocolo FAST, E-FAST;</w:t>
            </w:r>
          </w:p>
          <w:p w14:paraId="4AE8D218" w14:textId="77777777" w:rsidR="00401264"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c) Imagens de pequenas partes e superficiais: Mama, tireoide, próstata, testículos, gânglios linfáticos, hérnias e estruturas musculoesqueléticas;</w:t>
            </w:r>
          </w:p>
          <w:p w14:paraId="6AB1B173" w14:textId="77777777" w:rsidR="00502872" w:rsidRDefault="00401264" w:rsidP="00482152">
            <w:pPr>
              <w:rPr>
                <w:rFonts w:ascii="Arial" w:eastAsia="Times New Roman" w:hAnsi="Arial" w:cs="Arial"/>
                <w:color w:val="000000"/>
                <w:sz w:val="16"/>
                <w:szCs w:val="16"/>
              </w:rPr>
            </w:pPr>
            <w:r>
              <w:rPr>
                <w:rFonts w:ascii="Arial" w:eastAsia="Times New Roman" w:hAnsi="Arial" w:cs="Arial"/>
                <w:color w:val="000000"/>
                <w:sz w:val="16"/>
                <w:szCs w:val="16"/>
              </w:rPr>
              <w:t>d) Imagens Ginecológicas e obstétricas (em 2D):</w:t>
            </w:r>
            <w:r w:rsidR="002C3E66">
              <w:rPr>
                <w:rFonts w:ascii="Arial" w:eastAsia="Times New Roman" w:hAnsi="Arial" w:cs="Arial"/>
                <w:color w:val="000000"/>
                <w:sz w:val="16"/>
                <w:szCs w:val="16"/>
              </w:rPr>
              <w:t xml:space="preserve"> Transvaginal do </w:t>
            </w:r>
            <w:r w:rsidR="00502872">
              <w:rPr>
                <w:rFonts w:ascii="Arial" w:eastAsia="Times New Roman" w:hAnsi="Arial" w:cs="Arial"/>
                <w:color w:val="000000"/>
                <w:sz w:val="16"/>
                <w:szCs w:val="16"/>
              </w:rPr>
              <w:t>útero e dos ovários, anatomia fetal, peso fetal estimado, idade gestacional e fluido amniótico;</w:t>
            </w:r>
          </w:p>
          <w:p w14:paraId="2C2318B5" w14:textId="77777777" w:rsidR="00502872" w:rsidRDefault="00502872" w:rsidP="00482152">
            <w:pPr>
              <w:rPr>
                <w:rFonts w:ascii="Arial" w:eastAsia="Times New Roman" w:hAnsi="Arial" w:cs="Arial"/>
                <w:color w:val="000000"/>
                <w:sz w:val="16"/>
                <w:szCs w:val="16"/>
              </w:rPr>
            </w:pPr>
            <w:r>
              <w:rPr>
                <w:rFonts w:ascii="Arial" w:eastAsia="Times New Roman" w:hAnsi="Arial" w:cs="Arial"/>
                <w:color w:val="000000"/>
                <w:sz w:val="16"/>
                <w:szCs w:val="16"/>
              </w:rPr>
              <w:lastRenderedPageBreak/>
              <w:t>e) imagens vasculares (com Doppler colorido): vasos abdominais, periféricos (venoso superficial e profundo), arterial profundo e protocolo para análise de carótidas;</w:t>
            </w:r>
          </w:p>
          <w:p w14:paraId="1A422DD6" w14:textId="5F8161A8" w:rsidR="00401264" w:rsidRDefault="00502872" w:rsidP="00482152">
            <w:pPr>
              <w:rPr>
                <w:rFonts w:ascii="Arial" w:eastAsia="Times New Roman" w:hAnsi="Arial" w:cs="Arial"/>
                <w:color w:val="000000"/>
                <w:sz w:val="16"/>
                <w:szCs w:val="16"/>
              </w:rPr>
            </w:pPr>
            <w:r>
              <w:rPr>
                <w:rFonts w:ascii="Arial" w:eastAsia="Times New Roman" w:hAnsi="Arial" w:cs="Arial"/>
                <w:color w:val="000000"/>
                <w:sz w:val="16"/>
                <w:szCs w:val="16"/>
              </w:rPr>
              <w:t>f) Imagens e Procedimentos intervencionais: Biópsias, acesso vascular guiado, bloqueios anestésicos, anestesias periféricas e de coluna e punções com possibilidade de uso de software de visualização</w:t>
            </w:r>
            <w:r w:rsidR="00D300F2">
              <w:rPr>
                <w:rFonts w:ascii="Arial" w:eastAsia="Times New Roman" w:hAnsi="Arial" w:cs="Arial"/>
                <w:color w:val="000000"/>
                <w:sz w:val="16"/>
                <w:szCs w:val="16"/>
              </w:rPr>
              <w:t xml:space="preserve"> nos modos B (brilho); Modo M Anatômico, Modo M (Movimento); Doppler Pulsado; Doppler Contínuo, Doppler colorido; Power Doppler; </w:t>
            </w:r>
            <w:proofErr w:type="spellStart"/>
            <w:r w:rsidR="00D300F2">
              <w:rPr>
                <w:rFonts w:ascii="Arial" w:eastAsia="Times New Roman" w:hAnsi="Arial" w:cs="Arial"/>
                <w:color w:val="000000"/>
                <w:sz w:val="16"/>
                <w:szCs w:val="16"/>
              </w:rPr>
              <w:t>Tissue</w:t>
            </w:r>
            <w:proofErr w:type="spellEnd"/>
            <w:r w:rsidR="00D300F2">
              <w:rPr>
                <w:rFonts w:ascii="Arial" w:eastAsia="Times New Roman" w:hAnsi="Arial" w:cs="Arial"/>
                <w:color w:val="000000"/>
                <w:sz w:val="16"/>
                <w:szCs w:val="16"/>
              </w:rPr>
              <w:t xml:space="preserve"> Doppler </w:t>
            </w:r>
            <w:proofErr w:type="spellStart"/>
            <w:r w:rsidR="00D300F2">
              <w:rPr>
                <w:rFonts w:ascii="Arial" w:eastAsia="Times New Roman" w:hAnsi="Arial" w:cs="Arial"/>
                <w:color w:val="000000"/>
                <w:sz w:val="16"/>
                <w:szCs w:val="16"/>
              </w:rPr>
              <w:t>Imaging</w:t>
            </w:r>
            <w:proofErr w:type="spellEnd"/>
            <w:r w:rsidR="00D300F2">
              <w:rPr>
                <w:rFonts w:ascii="Arial" w:eastAsia="Times New Roman" w:hAnsi="Arial" w:cs="Arial"/>
                <w:color w:val="000000"/>
                <w:sz w:val="16"/>
                <w:szCs w:val="16"/>
              </w:rPr>
              <w:t xml:space="preserve"> (TDI) colorido e espectral. </w:t>
            </w:r>
            <w:proofErr w:type="spellStart"/>
            <w:r w:rsidR="00D300F2">
              <w:rPr>
                <w:rFonts w:ascii="Arial" w:eastAsia="Times New Roman" w:hAnsi="Arial" w:cs="Arial"/>
                <w:color w:val="000000"/>
                <w:sz w:val="16"/>
                <w:szCs w:val="16"/>
              </w:rPr>
              <w:t>Cineloop</w:t>
            </w:r>
            <w:proofErr w:type="spellEnd"/>
            <w:r w:rsidR="00D300F2">
              <w:rPr>
                <w:rFonts w:ascii="Arial" w:eastAsia="Times New Roman" w:hAnsi="Arial" w:cs="Arial"/>
                <w:color w:val="000000"/>
                <w:sz w:val="16"/>
                <w:szCs w:val="16"/>
              </w:rPr>
              <w:t xml:space="preserve">, com mais de 3.000 quadros ou acima de 300Mb. Duplex; Imagem harmônica tecidual; 2D (com 256 níveis de cinza); 2D com software que permite a visualização de agulhas. Software de reconstrução 3D. Acompanha Kit de radiologia para exames de </w:t>
            </w:r>
            <w:proofErr w:type="spellStart"/>
            <w:r w:rsidR="00D300F2">
              <w:rPr>
                <w:rFonts w:ascii="Arial" w:eastAsia="Times New Roman" w:hAnsi="Arial" w:cs="Arial"/>
                <w:color w:val="000000"/>
                <w:sz w:val="16"/>
                <w:szCs w:val="16"/>
              </w:rPr>
              <w:t>elastografia</w:t>
            </w:r>
            <w:proofErr w:type="spellEnd"/>
            <w:r w:rsidR="00D300F2">
              <w:rPr>
                <w:rFonts w:ascii="Arial" w:eastAsia="Times New Roman" w:hAnsi="Arial" w:cs="Arial"/>
                <w:color w:val="000000"/>
                <w:sz w:val="16"/>
                <w:szCs w:val="16"/>
              </w:rPr>
              <w:t xml:space="preserve">: mama, </w:t>
            </w:r>
            <w:proofErr w:type="spellStart"/>
            <w:r w:rsidR="00D300F2">
              <w:rPr>
                <w:rFonts w:ascii="Arial" w:eastAsia="Times New Roman" w:hAnsi="Arial" w:cs="Arial"/>
                <w:color w:val="000000"/>
                <w:sz w:val="16"/>
                <w:szCs w:val="16"/>
              </w:rPr>
              <w:t>msk</w:t>
            </w:r>
            <w:proofErr w:type="spellEnd"/>
            <w:r w:rsidR="00D300F2">
              <w:rPr>
                <w:rFonts w:ascii="Arial" w:eastAsia="Times New Roman" w:hAnsi="Arial" w:cs="Arial"/>
                <w:color w:val="000000"/>
                <w:sz w:val="16"/>
                <w:szCs w:val="16"/>
              </w:rPr>
              <w:t xml:space="preserve">, </w:t>
            </w:r>
            <w:r w:rsidR="00371A6B">
              <w:rPr>
                <w:rFonts w:ascii="Arial" w:eastAsia="Times New Roman" w:hAnsi="Arial" w:cs="Arial"/>
                <w:color w:val="000000"/>
                <w:sz w:val="16"/>
                <w:szCs w:val="16"/>
              </w:rPr>
              <w:t xml:space="preserve">tireoide. Possibilidade futura de aquisição de software e hardware 4D, com transdutor convexo volumétrico e </w:t>
            </w:r>
            <w:proofErr w:type="spellStart"/>
            <w:r w:rsidR="00371A6B">
              <w:rPr>
                <w:rFonts w:ascii="Arial" w:eastAsia="Times New Roman" w:hAnsi="Arial" w:cs="Arial"/>
                <w:color w:val="000000"/>
                <w:sz w:val="16"/>
                <w:szCs w:val="16"/>
              </w:rPr>
              <w:t>endocavitário</w:t>
            </w:r>
            <w:proofErr w:type="spellEnd"/>
            <w:r w:rsidR="00371A6B">
              <w:rPr>
                <w:rFonts w:ascii="Arial" w:eastAsia="Times New Roman" w:hAnsi="Arial" w:cs="Arial"/>
                <w:color w:val="000000"/>
                <w:sz w:val="16"/>
                <w:szCs w:val="16"/>
              </w:rPr>
              <w:t xml:space="preserve">. Possibilidade futura de aquisição de </w:t>
            </w:r>
            <w:r w:rsidR="00361F1C">
              <w:rPr>
                <w:rFonts w:ascii="Arial" w:eastAsia="Times New Roman" w:hAnsi="Arial" w:cs="Arial"/>
                <w:color w:val="000000"/>
                <w:sz w:val="16"/>
                <w:szCs w:val="16"/>
              </w:rPr>
              <w:t>software</w:t>
            </w:r>
            <w:r w:rsidR="00E77B25">
              <w:rPr>
                <w:rFonts w:ascii="Arial" w:eastAsia="Times New Roman" w:hAnsi="Arial" w:cs="Arial"/>
                <w:color w:val="000000"/>
                <w:sz w:val="16"/>
                <w:szCs w:val="16"/>
              </w:rPr>
              <w:t xml:space="preserve"> com kit para biópsia (metálico reutilizável). Software para área cardiológica oferecendo disponibilidade para exames: AMM, TVI, CWD. Possibilidade futura de adquirir o software de </w:t>
            </w:r>
            <w:proofErr w:type="spellStart"/>
            <w:r w:rsidR="00E77B25">
              <w:rPr>
                <w:rFonts w:ascii="Arial" w:eastAsia="Times New Roman" w:hAnsi="Arial" w:cs="Arial"/>
                <w:color w:val="000000"/>
                <w:sz w:val="16"/>
                <w:szCs w:val="16"/>
              </w:rPr>
              <w:t>Ecostress</w:t>
            </w:r>
            <w:proofErr w:type="spellEnd"/>
            <w:r w:rsidR="00E77B25">
              <w:rPr>
                <w:rFonts w:ascii="Arial" w:eastAsia="Times New Roman" w:hAnsi="Arial" w:cs="Arial"/>
                <w:color w:val="000000"/>
                <w:sz w:val="16"/>
                <w:szCs w:val="16"/>
              </w:rPr>
              <w:t xml:space="preserve"> e Auto EF (cálculo automático da fração de ejeção). Possibilidade futura de adquirir o módulo Ecocardiografia – AHA dispõe de software que permita realizar zoom, com ajuste de ganho e profundidade, cálculos e páginas de resultados completos para exames obstétricos e vasculares, procedimentos de análise vascular; dispõe de software para medida automática da íntima dos vasos; Dispor de taxa de quadros (FRAME RATE) acima de 1789 quadros/segundo; Profundidade de penetração de pelo menos 33cm; possuir pelo menos 301.000 canais de processamento. Possui medidas automáticas da bexiga. Possui aquecedor de GEL</w:t>
            </w:r>
            <w:r w:rsidR="000417C9">
              <w:rPr>
                <w:rFonts w:ascii="Arial" w:eastAsia="Times New Roman" w:hAnsi="Arial" w:cs="Arial"/>
                <w:color w:val="000000"/>
                <w:sz w:val="16"/>
                <w:szCs w:val="16"/>
              </w:rPr>
              <w:t xml:space="preserve"> integrado no equipamento; Console de Comando com rodízios independentes, com travas para giro e rolamento, gravador de CD/DVD embutido (de fábrica), regulagem de altura de console de comandos e suporte para os transdutores; teclado alfanumérico; Manuseio do cursor por track </w:t>
            </w:r>
            <w:proofErr w:type="spellStart"/>
            <w:r w:rsidR="000417C9">
              <w:rPr>
                <w:rFonts w:ascii="Arial" w:eastAsia="Times New Roman" w:hAnsi="Arial" w:cs="Arial"/>
                <w:color w:val="000000"/>
                <w:sz w:val="16"/>
                <w:szCs w:val="16"/>
              </w:rPr>
              <w:t>ball</w:t>
            </w:r>
            <w:proofErr w:type="spellEnd"/>
            <w:r w:rsidR="000417C9">
              <w:rPr>
                <w:rFonts w:ascii="Arial" w:eastAsia="Times New Roman" w:hAnsi="Arial" w:cs="Arial"/>
                <w:color w:val="000000"/>
                <w:sz w:val="16"/>
                <w:szCs w:val="16"/>
              </w:rPr>
              <w:t xml:space="preserve">. Possibilita utilização de teclas programáveis para funções avançadas definidas pelo usuário. Ajustes automáticos para curva de ganho (TGC) com no mínimo 8 potenciômetros. Monitor em tela colorida, única e plana de </w:t>
            </w:r>
            <w:r w:rsidR="00161422">
              <w:rPr>
                <w:rFonts w:ascii="Arial" w:eastAsia="Times New Roman" w:hAnsi="Arial" w:cs="Arial"/>
                <w:color w:val="000000"/>
                <w:sz w:val="16"/>
                <w:szCs w:val="16"/>
              </w:rPr>
              <w:t xml:space="preserve">LCD ou </w:t>
            </w:r>
            <w:r w:rsidR="000417C9">
              <w:rPr>
                <w:rFonts w:ascii="Arial" w:eastAsia="Times New Roman" w:hAnsi="Arial" w:cs="Arial"/>
                <w:color w:val="000000"/>
                <w:sz w:val="16"/>
                <w:szCs w:val="16"/>
              </w:rPr>
              <w:t xml:space="preserve">LED, com pelo menos 21”, com braço para ajuste de angulação e altura, definição de 1920 x 1080, com 256 tons de cinza; </w:t>
            </w:r>
            <w:proofErr w:type="gramStart"/>
            <w:r w:rsidR="000417C9">
              <w:rPr>
                <w:rFonts w:ascii="Arial" w:eastAsia="Times New Roman" w:hAnsi="Arial" w:cs="Arial"/>
                <w:color w:val="000000"/>
                <w:sz w:val="16"/>
                <w:szCs w:val="16"/>
              </w:rPr>
              <w:t>Possui</w:t>
            </w:r>
            <w:proofErr w:type="gramEnd"/>
            <w:r w:rsidR="000417C9">
              <w:rPr>
                <w:rFonts w:ascii="Arial" w:eastAsia="Times New Roman" w:hAnsi="Arial" w:cs="Arial"/>
                <w:color w:val="000000"/>
                <w:sz w:val="16"/>
                <w:szCs w:val="16"/>
              </w:rPr>
              <w:t xml:space="preserve"> tela de toque do tipo “</w:t>
            </w:r>
            <w:proofErr w:type="spellStart"/>
            <w:r w:rsidR="000417C9">
              <w:rPr>
                <w:rFonts w:ascii="Arial" w:eastAsia="Times New Roman" w:hAnsi="Arial" w:cs="Arial"/>
                <w:color w:val="000000"/>
                <w:sz w:val="16"/>
                <w:szCs w:val="16"/>
              </w:rPr>
              <w:t>touch</w:t>
            </w:r>
            <w:proofErr w:type="spellEnd"/>
            <w:r w:rsidR="000417C9">
              <w:rPr>
                <w:rFonts w:ascii="Arial" w:eastAsia="Times New Roman" w:hAnsi="Arial" w:cs="Arial"/>
                <w:color w:val="000000"/>
                <w:sz w:val="16"/>
                <w:szCs w:val="16"/>
              </w:rPr>
              <w:t xml:space="preserve"> </w:t>
            </w:r>
            <w:proofErr w:type="spellStart"/>
            <w:r w:rsidR="000417C9">
              <w:rPr>
                <w:rFonts w:ascii="Arial" w:eastAsia="Times New Roman" w:hAnsi="Arial" w:cs="Arial"/>
                <w:color w:val="000000"/>
                <w:sz w:val="16"/>
                <w:szCs w:val="16"/>
              </w:rPr>
              <w:t>screen</w:t>
            </w:r>
            <w:proofErr w:type="spellEnd"/>
            <w:r w:rsidR="000417C9">
              <w:rPr>
                <w:rFonts w:ascii="Arial" w:eastAsia="Times New Roman" w:hAnsi="Arial" w:cs="Arial"/>
                <w:color w:val="000000"/>
                <w:sz w:val="16"/>
                <w:szCs w:val="16"/>
              </w:rPr>
              <w:t xml:space="preserve">”, </w:t>
            </w:r>
            <w:r w:rsidR="00161422">
              <w:rPr>
                <w:rFonts w:ascii="Arial" w:eastAsia="Times New Roman" w:hAnsi="Arial" w:cs="Arial"/>
                <w:color w:val="000000"/>
                <w:sz w:val="16"/>
                <w:szCs w:val="16"/>
              </w:rPr>
              <w:t xml:space="preserve">mínimo </w:t>
            </w:r>
            <w:r w:rsidR="000417C9">
              <w:rPr>
                <w:rFonts w:ascii="Arial" w:eastAsia="Times New Roman" w:hAnsi="Arial" w:cs="Arial"/>
                <w:color w:val="000000"/>
                <w:sz w:val="16"/>
                <w:szCs w:val="16"/>
              </w:rPr>
              <w:t xml:space="preserve">de 12 polegadas. Capacidade de armazenamento interno igual a 500GB em disco rígido. Realiza aquisição, armazenamento, revisão e transferência digital de imagens; </w:t>
            </w:r>
            <w:proofErr w:type="gramStart"/>
            <w:r w:rsidR="000417C9">
              <w:rPr>
                <w:rFonts w:ascii="Arial" w:eastAsia="Times New Roman" w:hAnsi="Arial" w:cs="Arial"/>
                <w:color w:val="000000"/>
                <w:sz w:val="16"/>
                <w:szCs w:val="16"/>
              </w:rPr>
              <w:t>Permite</w:t>
            </w:r>
            <w:proofErr w:type="gramEnd"/>
            <w:r w:rsidR="000417C9">
              <w:rPr>
                <w:rFonts w:ascii="Arial" w:eastAsia="Times New Roman" w:hAnsi="Arial" w:cs="Arial"/>
                <w:color w:val="000000"/>
                <w:sz w:val="16"/>
                <w:szCs w:val="16"/>
              </w:rPr>
              <w:t xml:space="preserve"> aquisição estática (fotos)</w:t>
            </w:r>
            <w:r w:rsidR="005638D1">
              <w:rPr>
                <w:rFonts w:ascii="Arial" w:eastAsia="Times New Roman" w:hAnsi="Arial" w:cs="Arial"/>
                <w:color w:val="000000"/>
                <w:sz w:val="16"/>
                <w:szCs w:val="16"/>
              </w:rPr>
              <w:t xml:space="preserve"> e dinâmica (clipes de 60 segundos ou mais) de imagens;</w:t>
            </w:r>
          </w:p>
          <w:p w14:paraId="5D598777" w14:textId="77777777" w:rsidR="005638D1" w:rsidRDefault="005638D1" w:rsidP="00482152">
            <w:pPr>
              <w:rPr>
                <w:rFonts w:ascii="Arial" w:eastAsia="Times New Roman" w:hAnsi="Arial" w:cs="Arial"/>
                <w:color w:val="000000"/>
                <w:sz w:val="16"/>
                <w:szCs w:val="16"/>
              </w:rPr>
            </w:pPr>
            <w:r>
              <w:rPr>
                <w:rFonts w:ascii="Arial" w:eastAsia="Times New Roman" w:hAnsi="Arial" w:cs="Arial"/>
                <w:color w:val="000000"/>
                <w:sz w:val="16"/>
                <w:szCs w:val="16"/>
              </w:rPr>
              <w:t>conectividade:</w:t>
            </w:r>
          </w:p>
          <w:p w14:paraId="578ED251" w14:textId="77777777" w:rsidR="005638D1" w:rsidRDefault="005638D1" w:rsidP="005638D1">
            <w:pPr>
              <w:pStyle w:val="PargrafodaLista"/>
              <w:numPr>
                <w:ilvl w:val="0"/>
                <w:numId w:val="14"/>
              </w:numPr>
              <w:rPr>
                <w:rFonts w:ascii="Arial" w:eastAsia="Times New Roman" w:hAnsi="Arial" w:cs="Arial"/>
                <w:color w:val="000000"/>
                <w:sz w:val="16"/>
                <w:szCs w:val="16"/>
              </w:rPr>
            </w:pPr>
            <w:r>
              <w:rPr>
                <w:rFonts w:ascii="Arial" w:eastAsia="Times New Roman" w:hAnsi="Arial" w:cs="Arial"/>
                <w:color w:val="000000"/>
                <w:sz w:val="16"/>
                <w:szCs w:val="16"/>
              </w:rPr>
              <w:t>Interface de Rede Ethernet (</w:t>
            </w:r>
            <w:proofErr w:type="spellStart"/>
            <w:r>
              <w:rPr>
                <w:rFonts w:ascii="Arial" w:eastAsia="Times New Roman" w:hAnsi="Arial" w:cs="Arial"/>
                <w:color w:val="000000"/>
                <w:sz w:val="16"/>
                <w:szCs w:val="16"/>
              </w:rPr>
              <w:t>Fast</w:t>
            </w:r>
            <w:proofErr w:type="spellEnd"/>
            <w:r>
              <w:rPr>
                <w:rFonts w:ascii="Arial" w:eastAsia="Times New Roman" w:hAnsi="Arial" w:cs="Arial"/>
                <w:color w:val="000000"/>
                <w:sz w:val="16"/>
                <w:szCs w:val="16"/>
              </w:rPr>
              <w:t xml:space="preserve"> Ethernet, com protocolo TCP/IP – LAN 10/100);</w:t>
            </w:r>
          </w:p>
          <w:p w14:paraId="1A44E6E3" w14:textId="77777777" w:rsidR="005638D1" w:rsidRDefault="005638D1" w:rsidP="005638D1">
            <w:pPr>
              <w:pStyle w:val="PargrafodaLista"/>
              <w:numPr>
                <w:ilvl w:val="0"/>
                <w:numId w:val="14"/>
              </w:numPr>
              <w:rPr>
                <w:rFonts w:ascii="Arial" w:eastAsia="Times New Roman" w:hAnsi="Arial" w:cs="Arial"/>
                <w:color w:val="000000"/>
                <w:sz w:val="16"/>
                <w:szCs w:val="16"/>
              </w:rPr>
            </w:pPr>
            <w:r>
              <w:rPr>
                <w:rFonts w:ascii="Arial" w:eastAsia="Times New Roman" w:hAnsi="Arial" w:cs="Arial"/>
                <w:color w:val="000000"/>
                <w:sz w:val="16"/>
                <w:szCs w:val="16"/>
              </w:rPr>
              <w:t>Conectividade DICOM 3.0 (hardware e software) disponível e ativado;</w:t>
            </w:r>
          </w:p>
          <w:p w14:paraId="2307859D" w14:textId="7D1D334B" w:rsidR="005638D1" w:rsidRPr="005638D1" w:rsidRDefault="005638D1" w:rsidP="005638D1">
            <w:pPr>
              <w:pStyle w:val="PargrafodaLista"/>
              <w:numPr>
                <w:ilvl w:val="0"/>
                <w:numId w:val="14"/>
              </w:numPr>
              <w:rPr>
                <w:rFonts w:ascii="Arial" w:eastAsia="Times New Roman" w:hAnsi="Arial" w:cs="Arial"/>
                <w:color w:val="000000"/>
                <w:sz w:val="16"/>
                <w:szCs w:val="16"/>
              </w:rPr>
            </w:pPr>
            <w:r>
              <w:rPr>
                <w:rFonts w:ascii="Arial" w:eastAsia="Times New Roman" w:hAnsi="Arial" w:cs="Arial"/>
                <w:color w:val="000000"/>
                <w:sz w:val="16"/>
                <w:szCs w:val="16"/>
              </w:rPr>
              <w:t xml:space="preserve">04 portas USB disponíveis, para conexão de </w:t>
            </w:r>
            <w:proofErr w:type="spellStart"/>
            <w:r>
              <w:rPr>
                <w:rFonts w:ascii="Arial" w:eastAsia="Times New Roman" w:hAnsi="Arial" w:cs="Arial"/>
                <w:color w:val="000000"/>
                <w:sz w:val="16"/>
                <w:szCs w:val="16"/>
              </w:rPr>
              <w:t>dipositivos</w:t>
            </w:r>
            <w:proofErr w:type="spellEnd"/>
            <w:r>
              <w:rPr>
                <w:rFonts w:ascii="Arial" w:eastAsia="Times New Roman" w:hAnsi="Arial" w:cs="Arial"/>
                <w:color w:val="000000"/>
                <w:sz w:val="16"/>
                <w:szCs w:val="16"/>
              </w:rPr>
              <w:t xml:space="preserve"> externos de armazenamento (disco rígido ou memória); acompanha gravador de CD/DVD embutido (de fábrica), Transferência</w:t>
            </w:r>
            <w:r w:rsidR="00BD074A">
              <w:rPr>
                <w:rFonts w:ascii="Arial" w:eastAsia="Times New Roman" w:hAnsi="Arial" w:cs="Arial"/>
                <w:color w:val="000000"/>
                <w:sz w:val="16"/>
                <w:szCs w:val="16"/>
              </w:rPr>
              <w:t xml:space="preserve"> digital das imagens/clipes via USB, Rede Ethernet; Conexão Ativa para 04 transdutores conectados simultaneamente e selecionáveis via teclado; permite a troca de transdutores sem a necessidade de desligar o equipamento; Disponibiliza atualizações futuras de software sem necessidade de atualização de hardware para outras funções: possibilidade futura de aquisição de guia reutilizável de biópsia; Transdutores Eletrônicos </w:t>
            </w:r>
            <w:proofErr w:type="spellStart"/>
            <w:r w:rsidR="00BD074A">
              <w:rPr>
                <w:rFonts w:ascii="Arial" w:eastAsia="Times New Roman" w:hAnsi="Arial" w:cs="Arial"/>
                <w:color w:val="000000"/>
                <w:sz w:val="16"/>
                <w:szCs w:val="16"/>
              </w:rPr>
              <w:t>multifrequências</w:t>
            </w:r>
            <w:proofErr w:type="spellEnd"/>
            <w:r w:rsidR="00BD074A">
              <w:rPr>
                <w:rFonts w:ascii="Arial" w:eastAsia="Times New Roman" w:hAnsi="Arial" w:cs="Arial"/>
                <w:color w:val="000000"/>
                <w:sz w:val="16"/>
                <w:szCs w:val="16"/>
              </w:rPr>
              <w:t xml:space="preserve"> de banda larga, com possibilidade </w:t>
            </w:r>
            <w:r w:rsidR="00E4367D">
              <w:rPr>
                <w:rFonts w:ascii="Arial" w:eastAsia="Times New Roman" w:hAnsi="Arial" w:cs="Arial"/>
                <w:color w:val="000000"/>
                <w:sz w:val="16"/>
                <w:szCs w:val="16"/>
              </w:rPr>
              <w:t>de assepsia, a fim de prevenção e controle de infecção hospitalar</w:t>
            </w:r>
            <w:r w:rsidR="0066274F">
              <w:rPr>
                <w:rFonts w:ascii="Arial" w:eastAsia="Times New Roman" w:hAnsi="Arial" w:cs="Arial"/>
                <w:color w:val="000000"/>
                <w:sz w:val="16"/>
                <w:szCs w:val="16"/>
              </w:rPr>
              <w:t xml:space="preserve">. Com Frequências intermediárias selecionáveis com as frequências especificadas abaixo permitindo variação de 1 MHz para cima ou para baixo. 01 unidade transdutor </w:t>
            </w:r>
            <w:proofErr w:type="spellStart"/>
            <w:r w:rsidR="0066274F">
              <w:rPr>
                <w:rFonts w:ascii="Arial" w:eastAsia="Times New Roman" w:hAnsi="Arial" w:cs="Arial"/>
                <w:color w:val="000000"/>
                <w:sz w:val="16"/>
                <w:szCs w:val="16"/>
              </w:rPr>
              <w:t>endocavitário</w:t>
            </w:r>
            <w:proofErr w:type="spellEnd"/>
            <w:r w:rsidR="0066274F">
              <w:rPr>
                <w:rFonts w:ascii="Arial" w:eastAsia="Times New Roman" w:hAnsi="Arial" w:cs="Arial"/>
                <w:color w:val="000000"/>
                <w:sz w:val="16"/>
                <w:szCs w:val="16"/>
              </w:rPr>
              <w:t xml:space="preserve"> com frequências de 04 a 10 MHz com 128 elementos de cristais </w:t>
            </w:r>
            <w:proofErr w:type="spellStart"/>
            <w:r w:rsidR="0066274F">
              <w:rPr>
                <w:rFonts w:ascii="Arial" w:eastAsia="Times New Roman" w:hAnsi="Arial" w:cs="Arial"/>
                <w:color w:val="000000"/>
                <w:sz w:val="16"/>
                <w:szCs w:val="16"/>
              </w:rPr>
              <w:t>piezoelétricos</w:t>
            </w:r>
            <w:proofErr w:type="spellEnd"/>
            <w:r w:rsidR="0066274F">
              <w:rPr>
                <w:rFonts w:ascii="Arial" w:eastAsia="Times New Roman" w:hAnsi="Arial" w:cs="Arial"/>
                <w:color w:val="000000"/>
                <w:sz w:val="16"/>
                <w:szCs w:val="16"/>
              </w:rPr>
              <w:t xml:space="preserve"> e campo de visão de abertura de 168 graus. 01 </w:t>
            </w:r>
            <w:proofErr w:type="gramStart"/>
            <w:r w:rsidR="0066274F">
              <w:rPr>
                <w:rFonts w:ascii="Arial" w:eastAsia="Times New Roman" w:hAnsi="Arial" w:cs="Arial"/>
                <w:color w:val="000000"/>
                <w:sz w:val="16"/>
                <w:szCs w:val="16"/>
              </w:rPr>
              <w:t xml:space="preserve">unidade </w:t>
            </w:r>
            <w:r w:rsidR="006424D3">
              <w:rPr>
                <w:rFonts w:ascii="Arial" w:eastAsia="Times New Roman" w:hAnsi="Arial" w:cs="Arial"/>
                <w:color w:val="000000"/>
                <w:sz w:val="16"/>
                <w:szCs w:val="16"/>
              </w:rPr>
              <w:t xml:space="preserve"> Transdutor</w:t>
            </w:r>
            <w:proofErr w:type="gramEnd"/>
            <w:r w:rsidR="006424D3">
              <w:rPr>
                <w:rFonts w:ascii="Arial" w:eastAsia="Times New Roman" w:hAnsi="Arial" w:cs="Arial"/>
                <w:color w:val="000000"/>
                <w:sz w:val="16"/>
                <w:szCs w:val="16"/>
              </w:rPr>
              <w:t xml:space="preserve"> </w:t>
            </w:r>
            <w:r w:rsidR="006424D3">
              <w:rPr>
                <w:rFonts w:ascii="Arial" w:eastAsia="Times New Roman" w:hAnsi="Arial" w:cs="Arial"/>
                <w:color w:val="000000"/>
                <w:sz w:val="16"/>
                <w:szCs w:val="16"/>
              </w:rPr>
              <w:lastRenderedPageBreak/>
              <w:t xml:space="preserve">Setorial adulto com frequência de 1.7 a 4 </w:t>
            </w:r>
            <w:proofErr w:type="spellStart"/>
            <w:r w:rsidR="006424D3">
              <w:rPr>
                <w:rFonts w:ascii="Arial" w:eastAsia="Times New Roman" w:hAnsi="Arial" w:cs="Arial"/>
                <w:color w:val="000000"/>
                <w:sz w:val="16"/>
                <w:szCs w:val="16"/>
              </w:rPr>
              <w:t>Mhz</w:t>
            </w:r>
            <w:proofErr w:type="spellEnd"/>
            <w:r w:rsidR="006424D3">
              <w:rPr>
                <w:rFonts w:ascii="Arial" w:eastAsia="Times New Roman" w:hAnsi="Arial" w:cs="Arial"/>
                <w:color w:val="000000"/>
                <w:sz w:val="16"/>
                <w:szCs w:val="16"/>
              </w:rPr>
              <w:t xml:space="preserve"> com 64 elementos de cristais </w:t>
            </w:r>
            <w:proofErr w:type="spellStart"/>
            <w:r w:rsidR="006424D3">
              <w:rPr>
                <w:rFonts w:ascii="Arial" w:eastAsia="Times New Roman" w:hAnsi="Arial" w:cs="Arial"/>
                <w:color w:val="000000"/>
                <w:sz w:val="16"/>
                <w:szCs w:val="16"/>
              </w:rPr>
              <w:t>piezoelétricos</w:t>
            </w:r>
            <w:proofErr w:type="spellEnd"/>
            <w:r w:rsidR="006424D3">
              <w:rPr>
                <w:rFonts w:ascii="Arial" w:eastAsia="Times New Roman" w:hAnsi="Arial" w:cs="Arial"/>
                <w:color w:val="000000"/>
                <w:sz w:val="16"/>
                <w:szCs w:val="16"/>
              </w:rPr>
              <w:t xml:space="preserve"> e campo de visão de 120 graus. Manual do Usuário em português. Nobreak compatível c/ o equipamento. Impressora Colorida a laser incluindo Treinamento e Instalação.</w:t>
            </w:r>
          </w:p>
        </w:tc>
        <w:tc>
          <w:tcPr>
            <w:tcW w:w="580" w:type="dxa"/>
            <w:tcBorders>
              <w:top w:val="nil"/>
              <w:left w:val="nil"/>
              <w:bottom w:val="single" w:sz="4" w:space="0" w:color="auto"/>
              <w:right w:val="single" w:sz="4" w:space="0" w:color="auto"/>
            </w:tcBorders>
            <w:shd w:val="clear" w:color="auto" w:fill="auto"/>
            <w:noWrap/>
            <w:vAlign w:val="bottom"/>
            <w:hideMark/>
          </w:tcPr>
          <w:p w14:paraId="729DA595" w14:textId="77777777" w:rsidR="00482152" w:rsidRPr="00482152" w:rsidRDefault="00482152" w:rsidP="00482152">
            <w:pPr>
              <w:rPr>
                <w:rFonts w:ascii="Arial" w:eastAsia="Times New Roman" w:hAnsi="Arial" w:cs="Arial"/>
                <w:color w:val="000000"/>
                <w:sz w:val="16"/>
                <w:szCs w:val="16"/>
              </w:rPr>
            </w:pPr>
            <w:r w:rsidRPr="00482152">
              <w:rPr>
                <w:rFonts w:ascii="Arial" w:eastAsia="Times New Roman" w:hAnsi="Arial" w:cs="Arial"/>
                <w:color w:val="000000"/>
                <w:sz w:val="16"/>
                <w:szCs w:val="16"/>
              </w:rPr>
              <w:lastRenderedPageBreak/>
              <w:t>UN</w:t>
            </w:r>
          </w:p>
        </w:tc>
        <w:tc>
          <w:tcPr>
            <w:tcW w:w="480" w:type="dxa"/>
            <w:tcBorders>
              <w:top w:val="nil"/>
              <w:left w:val="nil"/>
              <w:bottom w:val="single" w:sz="4" w:space="0" w:color="auto"/>
              <w:right w:val="single" w:sz="4" w:space="0" w:color="auto"/>
            </w:tcBorders>
            <w:shd w:val="clear" w:color="auto" w:fill="auto"/>
            <w:noWrap/>
            <w:vAlign w:val="bottom"/>
            <w:hideMark/>
          </w:tcPr>
          <w:p w14:paraId="24E64542" w14:textId="7B02303C" w:rsidR="00482152" w:rsidRPr="00482152" w:rsidRDefault="006424D3" w:rsidP="00482152">
            <w:pPr>
              <w:jc w:val="right"/>
              <w:rPr>
                <w:rFonts w:ascii="Arial" w:eastAsia="Times New Roman" w:hAnsi="Arial" w:cs="Arial"/>
                <w:color w:val="000000"/>
                <w:sz w:val="16"/>
                <w:szCs w:val="16"/>
              </w:rPr>
            </w:pPr>
            <w:r>
              <w:rPr>
                <w:rFonts w:ascii="Arial" w:eastAsia="Times New Roman" w:hAnsi="Arial" w:cs="Arial"/>
                <w:color w:val="000000"/>
                <w:sz w:val="16"/>
                <w:szCs w:val="16"/>
              </w:rPr>
              <w:t>01</w:t>
            </w:r>
          </w:p>
        </w:tc>
        <w:tc>
          <w:tcPr>
            <w:tcW w:w="840" w:type="dxa"/>
            <w:tcBorders>
              <w:top w:val="nil"/>
              <w:left w:val="nil"/>
              <w:bottom w:val="single" w:sz="4" w:space="0" w:color="auto"/>
              <w:right w:val="single" w:sz="4" w:space="0" w:color="auto"/>
            </w:tcBorders>
            <w:shd w:val="clear" w:color="auto" w:fill="auto"/>
            <w:noWrap/>
            <w:vAlign w:val="bottom"/>
            <w:hideMark/>
          </w:tcPr>
          <w:p w14:paraId="30FBBFD5" w14:textId="5C398D9C"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 </w:t>
            </w:r>
            <w:r w:rsidR="006424D3">
              <w:rPr>
                <w:rFonts w:ascii="Arial" w:eastAsia="Times New Roman" w:hAnsi="Arial" w:cs="Arial"/>
                <w:color w:val="000000"/>
                <w:sz w:val="16"/>
                <w:szCs w:val="16"/>
              </w:rPr>
              <w:t>153.100,00</w:t>
            </w:r>
          </w:p>
        </w:tc>
        <w:tc>
          <w:tcPr>
            <w:tcW w:w="1460" w:type="dxa"/>
            <w:tcBorders>
              <w:top w:val="nil"/>
              <w:left w:val="nil"/>
              <w:bottom w:val="single" w:sz="4" w:space="0" w:color="auto"/>
              <w:right w:val="single" w:sz="4" w:space="0" w:color="auto"/>
            </w:tcBorders>
            <w:shd w:val="clear" w:color="auto" w:fill="auto"/>
            <w:noWrap/>
            <w:vAlign w:val="bottom"/>
            <w:hideMark/>
          </w:tcPr>
          <w:p w14:paraId="44FB1376" w14:textId="3D54D5C1" w:rsidR="00482152" w:rsidRPr="00482152" w:rsidRDefault="00482152" w:rsidP="00482152">
            <w:pPr>
              <w:jc w:val="right"/>
              <w:rPr>
                <w:rFonts w:ascii="Arial" w:eastAsia="Times New Roman" w:hAnsi="Arial" w:cs="Arial"/>
                <w:color w:val="000000"/>
                <w:sz w:val="16"/>
                <w:szCs w:val="16"/>
              </w:rPr>
            </w:pPr>
            <w:r w:rsidRPr="00482152">
              <w:rPr>
                <w:rFonts w:ascii="Arial" w:eastAsia="Times New Roman" w:hAnsi="Arial" w:cs="Arial"/>
                <w:color w:val="000000"/>
                <w:sz w:val="16"/>
                <w:szCs w:val="16"/>
              </w:rPr>
              <w:t xml:space="preserve">R$ </w:t>
            </w:r>
            <w:r w:rsidR="006424D3">
              <w:rPr>
                <w:rFonts w:ascii="Arial" w:eastAsia="Times New Roman" w:hAnsi="Arial" w:cs="Arial"/>
                <w:color w:val="000000"/>
                <w:sz w:val="16"/>
                <w:szCs w:val="16"/>
              </w:rPr>
              <w:t>153.100,00</w:t>
            </w:r>
          </w:p>
        </w:tc>
      </w:tr>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default" r:id="rId51"/>
      <w:footerReference w:type="default" r:id="rId52"/>
      <w:headerReference w:type="first" r:id="rId5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A97D3" w14:textId="77777777" w:rsidR="0012222A" w:rsidRDefault="0012222A">
      <w:r>
        <w:separator/>
      </w:r>
    </w:p>
  </w:endnote>
  <w:endnote w:type="continuationSeparator" w:id="0">
    <w:p w14:paraId="1F535CFA" w14:textId="77777777" w:rsidR="0012222A" w:rsidRDefault="0012222A">
      <w:r>
        <w:continuationSeparator/>
      </w:r>
    </w:p>
  </w:endnote>
  <w:endnote w:type="continuationNotice" w:id="1">
    <w:p w14:paraId="39C6A6EC" w14:textId="77777777" w:rsidR="0012222A" w:rsidRDefault="00122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EF317E" w:rsidRPr="00EF317E" w:rsidRDefault="00EF317E"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EF317E" w:rsidRPr="00EF317E" w:rsidRDefault="00EF317E"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EF317E" w:rsidRPr="00EF317E" w:rsidRDefault="00EF317E"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1" w:name="_Hlk135299703" w:displacedByCustomXml="next"/>
    </w:sdtContent>
  </w:sdt>
  <w:bookmarkEnd w:id="5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6710C" w14:textId="77777777" w:rsidR="0012222A" w:rsidRDefault="0012222A">
      <w:r>
        <w:separator/>
      </w:r>
    </w:p>
  </w:footnote>
  <w:footnote w:type="continuationSeparator" w:id="0">
    <w:p w14:paraId="4E2D971F" w14:textId="77777777" w:rsidR="0012222A" w:rsidRDefault="0012222A">
      <w:r>
        <w:continuationSeparator/>
      </w:r>
    </w:p>
  </w:footnote>
  <w:footnote w:type="continuationNotice" w:id="1">
    <w:p w14:paraId="3C334D20" w14:textId="77777777" w:rsidR="0012222A" w:rsidRDefault="001222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EF317E" w:rsidRPr="00C6099A" w:rsidRDefault="00EF317E"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EF317E" w:rsidRPr="00FA4F45" w:rsidRDefault="00EF317E"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EF317E" w:rsidRPr="00FA4F45" w:rsidRDefault="00EF317E"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EF317E" w:rsidRPr="00FA4F45" w:rsidRDefault="00EF317E"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EF317E" w:rsidRDefault="00EF317E" w:rsidP="00FA4F45">
                            <w:pPr>
                              <w:rPr>
                                <w:rFonts w:ascii="Arial" w:hAnsi="Arial" w:cs="Arial"/>
                                <w:sz w:val="32"/>
                                <w:szCs w:val="32"/>
                              </w:rPr>
                            </w:pPr>
                          </w:p>
                          <w:p w14:paraId="4A3C3C70" w14:textId="77777777" w:rsidR="00EF317E" w:rsidRPr="001071A5" w:rsidRDefault="00EF317E" w:rsidP="00FA4F45">
                            <w:pPr>
                              <w:rPr>
                                <w:rFonts w:ascii="Arial" w:hAnsi="Arial" w:cs="Arial"/>
                                <w:sz w:val="28"/>
                                <w:szCs w:val="28"/>
                              </w:rPr>
                            </w:pPr>
                          </w:p>
                          <w:p w14:paraId="03E764CA" w14:textId="77777777" w:rsidR="00EF317E" w:rsidRDefault="00EF317E"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EF317E" w:rsidRPr="00FA4F45" w:rsidRDefault="00EF317E"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EF317E" w:rsidRPr="00FA4F45" w:rsidRDefault="00EF317E"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EF317E" w:rsidRPr="00FA4F45" w:rsidRDefault="00EF317E"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EF317E" w:rsidRDefault="00EF317E" w:rsidP="00FA4F45">
                      <w:pPr>
                        <w:rPr>
                          <w:rFonts w:ascii="Arial" w:hAnsi="Arial" w:cs="Arial"/>
                          <w:sz w:val="32"/>
                          <w:szCs w:val="32"/>
                        </w:rPr>
                      </w:pPr>
                    </w:p>
                    <w:p w14:paraId="4A3C3C70" w14:textId="77777777" w:rsidR="00EF317E" w:rsidRPr="001071A5" w:rsidRDefault="00EF317E" w:rsidP="00FA4F45">
                      <w:pPr>
                        <w:rPr>
                          <w:rFonts w:ascii="Arial" w:hAnsi="Arial" w:cs="Arial"/>
                          <w:sz w:val="28"/>
                          <w:szCs w:val="28"/>
                        </w:rPr>
                      </w:pPr>
                    </w:p>
                    <w:p w14:paraId="03E764CA" w14:textId="77777777" w:rsidR="00EF317E" w:rsidRDefault="00EF317E" w:rsidP="00FA4F45"/>
                  </w:txbxContent>
                </v:textbox>
              </v:shape>
            </v:group>
          </w:pict>
        </mc:Fallback>
      </mc:AlternateContent>
    </w:r>
  </w:p>
  <w:p w14:paraId="789021E0" w14:textId="77777777" w:rsidR="00EF317E" w:rsidRDefault="00EF317E" w:rsidP="00FA4F45">
    <w:pPr>
      <w:pStyle w:val="Cabealho"/>
    </w:pPr>
  </w:p>
  <w:p w14:paraId="4C707DF1" w14:textId="77777777" w:rsidR="00EF317E" w:rsidRDefault="00EF317E" w:rsidP="00FA4F45">
    <w:pPr>
      <w:pStyle w:val="Cabealho"/>
    </w:pPr>
  </w:p>
  <w:p w14:paraId="129C723A" w14:textId="77777777" w:rsidR="00EF317E" w:rsidRDefault="00EF317E" w:rsidP="00FA4F45">
    <w:pPr>
      <w:pStyle w:val="Cabealho"/>
    </w:pPr>
  </w:p>
  <w:p w14:paraId="36411352" w14:textId="77777777" w:rsidR="00EF317E" w:rsidRDefault="00EF317E"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EF317E" w:rsidRPr="00C6099A" w:rsidRDefault="00EF317E"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EF317E" w:rsidRPr="00FA4F45" w:rsidRDefault="00EF317E"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EF317E" w:rsidRPr="00FA4F45" w:rsidRDefault="00EF317E"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EF317E" w:rsidRPr="00FA4F45" w:rsidRDefault="00EF317E"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EF317E" w:rsidRDefault="00EF317E" w:rsidP="00335555">
                            <w:pPr>
                              <w:rPr>
                                <w:rFonts w:ascii="Arial" w:hAnsi="Arial" w:cs="Arial"/>
                                <w:sz w:val="32"/>
                                <w:szCs w:val="32"/>
                              </w:rPr>
                            </w:pPr>
                          </w:p>
                          <w:p w14:paraId="316F14EF" w14:textId="77777777" w:rsidR="00EF317E" w:rsidRPr="001071A5" w:rsidRDefault="00EF317E" w:rsidP="00335555">
                            <w:pPr>
                              <w:rPr>
                                <w:rFonts w:ascii="Arial" w:hAnsi="Arial" w:cs="Arial"/>
                                <w:sz w:val="28"/>
                                <w:szCs w:val="28"/>
                              </w:rPr>
                            </w:pPr>
                          </w:p>
                          <w:p w14:paraId="0D82DCD5" w14:textId="77777777" w:rsidR="00EF317E" w:rsidRDefault="00EF317E"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EF317E" w:rsidRPr="00FA4F45" w:rsidRDefault="00EF317E"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EF317E" w:rsidRPr="00FA4F45" w:rsidRDefault="00EF317E"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EF317E" w:rsidRPr="00FA4F45" w:rsidRDefault="00EF317E"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EF317E" w:rsidRDefault="00EF317E" w:rsidP="00335555">
                      <w:pPr>
                        <w:rPr>
                          <w:rFonts w:ascii="Arial" w:hAnsi="Arial" w:cs="Arial"/>
                          <w:sz w:val="32"/>
                          <w:szCs w:val="32"/>
                        </w:rPr>
                      </w:pPr>
                    </w:p>
                    <w:p w14:paraId="316F14EF" w14:textId="77777777" w:rsidR="00EF317E" w:rsidRPr="001071A5" w:rsidRDefault="00EF317E" w:rsidP="00335555">
                      <w:pPr>
                        <w:rPr>
                          <w:rFonts w:ascii="Arial" w:hAnsi="Arial" w:cs="Arial"/>
                          <w:sz w:val="28"/>
                          <w:szCs w:val="28"/>
                        </w:rPr>
                      </w:pPr>
                    </w:p>
                    <w:p w14:paraId="0D82DCD5" w14:textId="77777777" w:rsidR="00EF317E" w:rsidRDefault="00EF317E" w:rsidP="00335555"/>
                  </w:txbxContent>
                </v:textbox>
              </v:shape>
            </v:group>
          </w:pict>
        </mc:Fallback>
      </mc:AlternateContent>
    </w:r>
  </w:p>
  <w:p w14:paraId="6B0447D1" w14:textId="313CF745" w:rsidR="00EF317E" w:rsidRDefault="00EF317E">
    <w:pPr>
      <w:pStyle w:val="Cabealho"/>
    </w:pPr>
  </w:p>
  <w:p w14:paraId="0AE6D3C8" w14:textId="54575E98" w:rsidR="00EF317E" w:rsidRDefault="00EF317E">
    <w:pPr>
      <w:pStyle w:val="Cabealho"/>
    </w:pPr>
  </w:p>
  <w:p w14:paraId="36D4DD3D" w14:textId="77777777" w:rsidR="00EF317E" w:rsidRDefault="00EF31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81"/>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22A"/>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553"/>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270"/>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52586704-50C8-4DB9-BB41-B8432553A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10989</Words>
  <Characters>59346</Characters>
  <Application>Microsoft Office Word</Application>
  <DocSecurity>0</DocSecurity>
  <Lines>494</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2024-07-23T16:30:00Z</dcterms:created>
  <dcterms:modified xsi:type="dcterms:W3CDTF">2024-07-24T16:38:00Z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