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bookmarkStart w:id="0" w:name="_GoBack"/>
      <w:bookmarkEnd w:id="0"/>
    </w:p>
    <w:p w14:paraId="02437A2A" w14:textId="75031C9D" w:rsidR="00127AAA" w:rsidRPr="006E1990" w:rsidRDefault="005C2AED" w:rsidP="00127AAA">
      <w:pPr>
        <w:rPr>
          <w:rFonts w:ascii="Arial" w:hAnsi="Arial" w:cs="Arial"/>
          <w:i/>
          <w:iCs/>
          <w:color w:val="5B5B5F"/>
          <w:sz w:val="28"/>
          <w:szCs w:val="28"/>
        </w:rPr>
      </w:pPr>
      <w:r>
        <w:rPr>
          <w:rFonts w:ascii="Arial" w:hAnsi="Arial" w:cs="Arial"/>
          <w:i/>
          <w:iCs/>
          <w:color w:val="5B5B5F"/>
          <w:sz w:val="28"/>
          <w:szCs w:val="28"/>
        </w:rPr>
        <w:t>0</w:t>
      </w:r>
      <w:r w:rsidR="00EC566E">
        <w:rPr>
          <w:rFonts w:ascii="Arial" w:hAnsi="Arial" w:cs="Arial"/>
          <w:i/>
          <w:iCs/>
          <w:color w:val="5B5B5F"/>
          <w:sz w:val="28"/>
          <w:szCs w:val="28"/>
        </w:rPr>
        <w:t>1</w:t>
      </w:r>
      <w:r w:rsidR="006424D3">
        <w:rPr>
          <w:rFonts w:ascii="Arial" w:hAnsi="Arial" w:cs="Arial"/>
          <w:i/>
          <w:iCs/>
          <w:color w:val="5B5B5F"/>
          <w:sz w:val="28"/>
          <w:szCs w:val="28"/>
        </w:rPr>
        <w:t>2</w:t>
      </w:r>
      <w:r w:rsidR="00B73550">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1B95AF9" w14:textId="05E91A47" w:rsidR="000D7529" w:rsidRDefault="00E4367D" w:rsidP="00127AAA">
      <w:pPr>
        <w:rPr>
          <w:rFonts w:ascii="Arial" w:hAnsi="Arial" w:cs="Arial"/>
          <w:b/>
          <w:bCs/>
          <w:color w:val="405CA1"/>
          <w:sz w:val="32"/>
          <w:szCs w:val="32"/>
        </w:rPr>
      </w:pPr>
      <w:r>
        <w:rPr>
          <w:rFonts w:ascii="Arial" w:hAnsi="Arial" w:cs="Arial"/>
          <w:color w:val="595959" w:themeColor="text1" w:themeTint="A6"/>
          <w:sz w:val="28"/>
          <w:szCs w:val="28"/>
        </w:rPr>
        <w:t>REGISTRO DE PREÇO PARA AQUISIÇÃO DE APARELHO DE ULTRASSOM</w:t>
      </w: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611CB109" w14:textId="1873D62B" w:rsidR="00127AAA" w:rsidRDefault="008B0F44" w:rsidP="00127AAA">
      <w:pPr>
        <w:rPr>
          <w:rFonts w:ascii="Arial" w:hAnsi="Arial" w:cs="Arial"/>
          <w:b/>
          <w:bCs/>
          <w:color w:val="5B5B5F"/>
          <w:sz w:val="28"/>
          <w:szCs w:val="28"/>
        </w:rPr>
      </w:pPr>
      <w:r w:rsidRPr="008B0F44">
        <w:rPr>
          <w:rFonts w:ascii="Arial" w:hAnsi="Arial" w:cs="Arial"/>
          <w:b/>
          <w:bCs/>
          <w:color w:val="5B5B5F"/>
          <w:sz w:val="28"/>
          <w:szCs w:val="28"/>
        </w:rPr>
        <w:t xml:space="preserve">R$ </w:t>
      </w:r>
      <w:r w:rsidR="00EC566E" w:rsidRPr="00EC566E">
        <w:rPr>
          <w:rFonts w:ascii="Arial" w:hAnsi="Arial" w:cs="Arial"/>
          <w:b/>
          <w:bCs/>
          <w:color w:val="5B5B5F"/>
          <w:sz w:val="28"/>
          <w:szCs w:val="28"/>
        </w:rPr>
        <w:t xml:space="preserve">R$ </w:t>
      </w:r>
      <w:r w:rsidR="006424D3">
        <w:rPr>
          <w:rFonts w:ascii="Arial" w:hAnsi="Arial" w:cs="Arial"/>
          <w:b/>
          <w:bCs/>
          <w:color w:val="5B5B5F"/>
          <w:sz w:val="28"/>
          <w:szCs w:val="28"/>
        </w:rPr>
        <w:t>153.100,00</w:t>
      </w:r>
    </w:p>
    <w:p w14:paraId="624DACFE" w14:textId="77777777" w:rsidR="005C2AED" w:rsidRPr="006E1990" w:rsidRDefault="005C2AED"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6602B711" w:rsidR="00127AAA" w:rsidRPr="00E4367D" w:rsidRDefault="006927AE" w:rsidP="00127AAA">
      <w:pPr>
        <w:rPr>
          <w:rFonts w:ascii="Arial" w:hAnsi="Arial" w:cs="Arial"/>
          <w:b/>
          <w:bCs/>
          <w:color w:val="5B5B5F"/>
          <w:sz w:val="28"/>
          <w:szCs w:val="28"/>
        </w:rPr>
      </w:pPr>
      <w:r w:rsidRPr="00E4367D">
        <w:rPr>
          <w:rFonts w:ascii="Arial" w:hAnsi="Arial" w:cs="Arial"/>
          <w:b/>
          <w:color w:val="5B5B5F"/>
          <w:sz w:val="28"/>
          <w:szCs w:val="28"/>
        </w:rPr>
        <w:t>Dia</w:t>
      </w:r>
      <w:r w:rsidR="00127AAA" w:rsidRPr="00E4367D">
        <w:rPr>
          <w:rFonts w:ascii="Arial" w:hAnsi="Arial" w:cs="Arial"/>
          <w:b/>
          <w:color w:val="5B5B5F"/>
          <w:sz w:val="28"/>
          <w:szCs w:val="28"/>
        </w:rPr>
        <w:t xml:space="preserve"> </w:t>
      </w:r>
      <w:r w:rsidR="00E4367D" w:rsidRPr="00E4367D">
        <w:rPr>
          <w:rFonts w:ascii="Arial" w:hAnsi="Arial" w:cs="Arial"/>
          <w:b/>
          <w:color w:val="5B5B5F"/>
          <w:sz w:val="28"/>
          <w:szCs w:val="28"/>
        </w:rPr>
        <w:t>24</w:t>
      </w:r>
      <w:r w:rsidR="00127AAA" w:rsidRPr="00E4367D">
        <w:rPr>
          <w:rFonts w:ascii="Arial" w:hAnsi="Arial" w:cs="Arial"/>
          <w:b/>
          <w:bCs/>
          <w:color w:val="5B5B5F"/>
          <w:sz w:val="28"/>
          <w:szCs w:val="28"/>
        </w:rPr>
        <w:t>/</w:t>
      </w:r>
      <w:r w:rsidR="003121DD" w:rsidRPr="00E4367D">
        <w:rPr>
          <w:rFonts w:ascii="Arial" w:hAnsi="Arial" w:cs="Arial"/>
          <w:b/>
          <w:bCs/>
          <w:color w:val="5B5B5F"/>
          <w:sz w:val="28"/>
          <w:szCs w:val="28"/>
        </w:rPr>
        <w:t>0</w:t>
      </w:r>
      <w:r w:rsidR="00EC566E" w:rsidRPr="00E4367D">
        <w:rPr>
          <w:rFonts w:ascii="Arial" w:hAnsi="Arial" w:cs="Arial"/>
          <w:b/>
          <w:bCs/>
          <w:color w:val="5B5B5F"/>
          <w:sz w:val="28"/>
          <w:szCs w:val="28"/>
        </w:rPr>
        <w:t>4</w:t>
      </w:r>
      <w:r w:rsidR="00127AAA" w:rsidRPr="00E4367D">
        <w:rPr>
          <w:rFonts w:ascii="Arial" w:hAnsi="Arial" w:cs="Arial"/>
          <w:b/>
          <w:bCs/>
          <w:color w:val="5B5B5F"/>
          <w:sz w:val="28"/>
          <w:szCs w:val="28"/>
        </w:rPr>
        <w:t>/</w:t>
      </w:r>
      <w:r w:rsidR="00912E6D" w:rsidRPr="00E4367D">
        <w:rPr>
          <w:rFonts w:ascii="Arial" w:hAnsi="Arial" w:cs="Arial"/>
          <w:b/>
          <w:bCs/>
          <w:color w:val="5B5B5F"/>
          <w:sz w:val="28"/>
          <w:szCs w:val="28"/>
        </w:rPr>
        <w:t>2024</w:t>
      </w:r>
      <w:r w:rsidR="00127AAA" w:rsidRPr="00E4367D">
        <w:rPr>
          <w:rFonts w:ascii="Arial" w:hAnsi="Arial" w:cs="Arial"/>
          <w:b/>
          <w:bCs/>
          <w:color w:val="5B5B5F"/>
          <w:sz w:val="28"/>
          <w:szCs w:val="28"/>
        </w:rPr>
        <w:t xml:space="preserve"> </w:t>
      </w:r>
      <w:r w:rsidR="00127AAA" w:rsidRPr="00E4367D">
        <w:rPr>
          <w:rFonts w:ascii="Arial" w:hAnsi="Arial" w:cs="Arial"/>
          <w:b/>
          <w:color w:val="5B5B5F"/>
          <w:sz w:val="28"/>
          <w:szCs w:val="28"/>
        </w:rPr>
        <w:t xml:space="preserve">às </w:t>
      </w:r>
      <w:r w:rsidR="00B73550" w:rsidRPr="00E4367D">
        <w:rPr>
          <w:rFonts w:ascii="Arial" w:hAnsi="Arial" w:cs="Arial"/>
          <w:b/>
          <w:color w:val="5B5B5F"/>
          <w:sz w:val="28"/>
          <w:szCs w:val="28"/>
        </w:rPr>
        <w:t>09</w:t>
      </w:r>
      <w:r w:rsidR="00912E6D" w:rsidRPr="00E4367D">
        <w:rPr>
          <w:rFonts w:ascii="Arial" w:hAnsi="Arial" w:cs="Arial"/>
          <w:b/>
          <w:color w:val="5B5B5F"/>
          <w:sz w:val="28"/>
          <w:szCs w:val="28"/>
        </w:rPr>
        <w:t>h</w:t>
      </w:r>
      <w:r w:rsidR="0083414A" w:rsidRPr="00E4367D">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1135F0C1" w:rsidR="005C2AED" w:rsidRDefault="005C2AED" w:rsidP="00127AAA">
      <w:pPr>
        <w:rPr>
          <w:rFonts w:ascii="Arial" w:hAnsi="Arial" w:cs="Arial"/>
          <w:b/>
          <w:bCs/>
          <w:color w:val="5B5B5F"/>
          <w:sz w:val="28"/>
          <w:szCs w:val="28"/>
        </w:rPr>
      </w:pPr>
    </w:p>
    <w:p w14:paraId="5D61CCF7" w14:textId="77777777" w:rsidR="00E4367D" w:rsidRDefault="00E4367D"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E91DDA3" w14:textId="2C31A40D" w:rsidR="00D639DA" w:rsidRDefault="003F579D">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D639DA">
              <w:rPr>
                <w:noProof/>
                <w:webHidden/>
              </w:rPr>
              <w:t>3</w:t>
            </w:r>
            <w:r w:rsidR="00D639DA">
              <w:rPr>
                <w:noProof/>
                <w:webHidden/>
              </w:rPr>
              <w:fldChar w:fldCharType="end"/>
            </w:r>
          </w:hyperlink>
        </w:p>
        <w:p w14:paraId="5CF06C16" w14:textId="4127EB62" w:rsidR="00D639DA" w:rsidRDefault="00401264">
          <w:pPr>
            <w:pStyle w:val="Sumrio1"/>
            <w:rPr>
              <w:rFonts w:asciiTheme="minorHAnsi" w:eastAsiaTheme="minorEastAsia" w:hAnsiTheme="minorHAnsi" w:cstheme="minorBidi"/>
              <w:noProof/>
              <w:sz w:val="22"/>
              <w:szCs w:val="22"/>
            </w:rPr>
          </w:pPr>
          <w:hyperlink w:anchor="_Toc135469224" w:history="1">
            <w:r w:rsidR="00D639DA" w:rsidRPr="00811D4B">
              <w:rPr>
                <w:rStyle w:val="Hyperlink"/>
                <w:noProof/>
              </w:rPr>
              <w:t>2.</w:t>
            </w:r>
            <w:r w:rsidR="00D639DA" w:rsidRPr="00811D4B">
              <w:rPr>
                <w:rFonts w:asciiTheme="minorHAnsi" w:eastAsiaTheme="minorEastAsia" w:hAnsiTheme="minorHAnsi" w:cstheme="minorBidi"/>
                <w:noProof/>
                <w:sz w:val="22"/>
                <w:szCs w:val="22"/>
              </w:rPr>
              <w:tab/>
            </w:r>
            <w:r w:rsidR="00D639DA" w:rsidRPr="00811D4B">
              <w:rPr>
                <w:rStyle w:val="Hyperlink"/>
                <w:noProof/>
              </w:rPr>
              <w:t xml:space="preserve">DO REGISTRO DE PREÇOS </w:t>
            </w:r>
            <w:r w:rsidR="00D639DA" w:rsidRPr="00811D4B">
              <w:rPr>
                <w:noProof/>
                <w:webHidden/>
              </w:rPr>
              <w:tab/>
            </w:r>
            <w:r w:rsidR="00D639DA" w:rsidRPr="00811D4B">
              <w:rPr>
                <w:noProof/>
                <w:webHidden/>
              </w:rPr>
              <w:fldChar w:fldCharType="begin"/>
            </w:r>
            <w:r w:rsidR="00D639DA" w:rsidRPr="00811D4B">
              <w:rPr>
                <w:noProof/>
                <w:webHidden/>
              </w:rPr>
              <w:instrText xml:space="preserve"> PAGEREF _Toc135469224 \h </w:instrText>
            </w:r>
            <w:r w:rsidR="00D639DA" w:rsidRPr="00811D4B">
              <w:rPr>
                <w:noProof/>
                <w:webHidden/>
              </w:rPr>
            </w:r>
            <w:r w:rsidR="00D639DA" w:rsidRPr="00811D4B">
              <w:rPr>
                <w:noProof/>
                <w:webHidden/>
              </w:rPr>
              <w:fldChar w:fldCharType="separate"/>
            </w:r>
            <w:r w:rsidR="00D639DA" w:rsidRPr="00811D4B">
              <w:rPr>
                <w:noProof/>
                <w:webHidden/>
              </w:rPr>
              <w:t>3</w:t>
            </w:r>
            <w:r w:rsidR="00D639DA" w:rsidRPr="00811D4B">
              <w:rPr>
                <w:noProof/>
                <w:webHidden/>
              </w:rPr>
              <w:fldChar w:fldCharType="end"/>
            </w:r>
          </w:hyperlink>
        </w:p>
        <w:p w14:paraId="0E6F78D6" w14:textId="63D03554" w:rsidR="00D639DA" w:rsidRDefault="00401264">
          <w:pPr>
            <w:pStyle w:val="Sumrio1"/>
            <w:rPr>
              <w:rFonts w:asciiTheme="minorHAnsi" w:eastAsiaTheme="minorEastAsia" w:hAnsiTheme="minorHAnsi" w:cstheme="minorBidi"/>
              <w:noProof/>
              <w:sz w:val="22"/>
              <w:szCs w:val="22"/>
            </w:rPr>
          </w:pPr>
          <w:hyperlink w:anchor="_Toc135469225" w:history="1">
            <w:r w:rsidR="00D639DA" w:rsidRPr="00D267FD">
              <w:rPr>
                <w:rStyle w:val="Hyperlink"/>
                <w:noProof/>
              </w:rPr>
              <w:t>3.</w:t>
            </w:r>
            <w:r w:rsidR="00D639DA">
              <w:rPr>
                <w:rFonts w:asciiTheme="minorHAnsi" w:eastAsiaTheme="minorEastAsia" w:hAnsiTheme="minorHAnsi" w:cstheme="minorBidi"/>
                <w:noProof/>
                <w:sz w:val="22"/>
                <w:szCs w:val="22"/>
              </w:rPr>
              <w:tab/>
            </w:r>
            <w:r w:rsidR="00D639DA" w:rsidRPr="00D267FD">
              <w:rPr>
                <w:rStyle w:val="Hyperlink"/>
                <w:noProof/>
              </w:rPr>
              <w:t>DA PARTICIPAÇÃO NA LICITAÇÃO</w:t>
            </w:r>
            <w:r w:rsidR="00D639DA">
              <w:rPr>
                <w:noProof/>
                <w:webHidden/>
              </w:rPr>
              <w:tab/>
            </w:r>
            <w:r w:rsidR="00D639DA">
              <w:rPr>
                <w:noProof/>
                <w:webHidden/>
              </w:rPr>
              <w:fldChar w:fldCharType="begin"/>
            </w:r>
            <w:r w:rsidR="00D639DA">
              <w:rPr>
                <w:noProof/>
                <w:webHidden/>
              </w:rPr>
              <w:instrText xml:space="preserve"> PAGEREF _Toc135469225 \h </w:instrText>
            </w:r>
            <w:r w:rsidR="00D639DA">
              <w:rPr>
                <w:noProof/>
                <w:webHidden/>
              </w:rPr>
            </w:r>
            <w:r w:rsidR="00D639DA">
              <w:rPr>
                <w:noProof/>
                <w:webHidden/>
              </w:rPr>
              <w:fldChar w:fldCharType="separate"/>
            </w:r>
            <w:r w:rsidR="00D639DA">
              <w:rPr>
                <w:noProof/>
                <w:webHidden/>
              </w:rPr>
              <w:t>4</w:t>
            </w:r>
            <w:r w:rsidR="00D639DA">
              <w:rPr>
                <w:noProof/>
                <w:webHidden/>
              </w:rPr>
              <w:fldChar w:fldCharType="end"/>
            </w:r>
          </w:hyperlink>
        </w:p>
        <w:p w14:paraId="657B7259" w14:textId="7628EC54" w:rsidR="00D639DA" w:rsidRDefault="00401264">
          <w:pPr>
            <w:pStyle w:val="Sumrio1"/>
            <w:rPr>
              <w:rFonts w:asciiTheme="minorHAnsi" w:eastAsiaTheme="minorEastAsia" w:hAnsiTheme="minorHAnsi" w:cstheme="minorBidi"/>
              <w:noProof/>
              <w:sz w:val="22"/>
              <w:szCs w:val="22"/>
            </w:rPr>
          </w:pPr>
          <w:hyperlink w:anchor="_Toc135469226" w:history="1">
            <w:r w:rsidR="00D639DA" w:rsidRPr="00D267FD">
              <w:rPr>
                <w:rStyle w:val="Hyperlink"/>
                <w:noProof/>
              </w:rPr>
              <w:t>4.</w:t>
            </w:r>
            <w:r w:rsidR="00D639DA">
              <w:rPr>
                <w:rFonts w:asciiTheme="minorHAnsi" w:eastAsiaTheme="minorEastAsia" w:hAnsiTheme="minorHAnsi" w:cstheme="minorBidi"/>
                <w:noProof/>
                <w:sz w:val="22"/>
                <w:szCs w:val="22"/>
              </w:rPr>
              <w:tab/>
            </w:r>
            <w:r w:rsidR="00D639DA" w:rsidRPr="00D267FD">
              <w:rPr>
                <w:rStyle w:val="Hyperlink"/>
                <w:noProof/>
              </w:rPr>
              <w:t>DA APRESENTAÇÃO DA PROPOSTA E DOS DOCUMENTOS DE HABILITAÇÃO</w:t>
            </w:r>
            <w:r w:rsidR="00D639DA">
              <w:rPr>
                <w:noProof/>
                <w:webHidden/>
              </w:rPr>
              <w:tab/>
            </w:r>
            <w:r w:rsidR="00D639DA">
              <w:rPr>
                <w:noProof/>
                <w:webHidden/>
              </w:rPr>
              <w:fldChar w:fldCharType="begin"/>
            </w:r>
            <w:r w:rsidR="00D639DA">
              <w:rPr>
                <w:noProof/>
                <w:webHidden/>
              </w:rPr>
              <w:instrText xml:space="preserve"> PAGEREF _Toc135469226 \h </w:instrText>
            </w:r>
            <w:r w:rsidR="00D639DA">
              <w:rPr>
                <w:noProof/>
                <w:webHidden/>
              </w:rPr>
            </w:r>
            <w:r w:rsidR="00D639DA">
              <w:rPr>
                <w:noProof/>
                <w:webHidden/>
              </w:rPr>
              <w:fldChar w:fldCharType="separate"/>
            </w:r>
            <w:r w:rsidR="00D639DA">
              <w:rPr>
                <w:noProof/>
                <w:webHidden/>
              </w:rPr>
              <w:t>5</w:t>
            </w:r>
            <w:r w:rsidR="00D639DA">
              <w:rPr>
                <w:noProof/>
                <w:webHidden/>
              </w:rPr>
              <w:fldChar w:fldCharType="end"/>
            </w:r>
          </w:hyperlink>
        </w:p>
        <w:p w14:paraId="4BDE9A8C" w14:textId="46E3E8AA" w:rsidR="00D639DA" w:rsidRDefault="00401264">
          <w:pPr>
            <w:pStyle w:val="Sumrio1"/>
            <w:rPr>
              <w:rFonts w:asciiTheme="minorHAnsi" w:eastAsiaTheme="minorEastAsia" w:hAnsiTheme="minorHAnsi" w:cstheme="minorBidi"/>
              <w:noProof/>
              <w:sz w:val="22"/>
              <w:szCs w:val="22"/>
            </w:rPr>
          </w:pPr>
          <w:hyperlink w:anchor="_Toc135469227" w:history="1">
            <w:r w:rsidR="00D639DA" w:rsidRPr="00D267FD">
              <w:rPr>
                <w:rStyle w:val="Hyperlink"/>
                <w:noProof/>
              </w:rPr>
              <w:t>5.</w:t>
            </w:r>
            <w:r w:rsidR="00D639DA">
              <w:rPr>
                <w:rFonts w:asciiTheme="minorHAnsi" w:eastAsiaTheme="minorEastAsia" w:hAnsiTheme="minorHAnsi" w:cstheme="minorBidi"/>
                <w:noProof/>
                <w:sz w:val="22"/>
                <w:szCs w:val="22"/>
              </w:rPr>
              <w:tab/>
            </w:r>
            <w:r w:rsidR="00D639DA" w:rsidRPr="00D267FD">
              <w:rPr>
                <w:rStyle w:val="Hyperlink"/>
                <w:noProof/>
              </w:rPr>
              <w:t>DO PREENCHIMENTO DA PROPOSTA</w:t>
            </w:r>
            <w:r w:rsidR="00D639DA">
              <w:rPr>
                <w:noProof/>
                <w:webHidden/>
              </w:rPr>
              <w:tab/>
            </w:r>
            <w:r w:rsidR="00D639DA">
              <w:rPr>
                <w:noProof/>
                <w:webHidden/>
              </w:rPr>
              <w:fldChar w:fldCharType="begin"/>
            </w:r>
            <w:r w:rsidR="00D639DA">
              <w:rPr>
                <w:noProof/>
                <w:webHidden/>
              </w:rPr>
              <w:instrText xml:space="preserve"> PAGEREF _Toc135469227 \h </w:instrText>
            </w:r>
            <w:r w:rsidR="00D639DA">
              <w:rPr>
                <w:noProof/>
                <w:webHidden/>
              </w:rPr>
            </w:r>
            <w:r w:rsidR="00D639DA">
              <w:rPr>
                <w:noProof/>
                <w:webHidden/>
              </w:rPr>
              <w:fldChar w:fldCharType="separate"/>
            </w:r>
            <w:r w:rsidR="00D639DA">
              <w:rPr>
                <w:noProof/>
                <w:webHidden/>
              </w:rPr>
              <w:t>7</w:t>
            </w:r>
            <w:r w:rsidR="00D639DA">
              <w:rPr>
                <w:noProof/>
                <w:webHidden/>
              </w:rPr>
              <w:fldChar w:fldCharType="end"/>
            </w:r>
          </w:hyperlink>
        </w:p>
        <w:p w14:paraId="35DBBB03" w14:textId="12E49953" w:rsidR="00D639DA" w:rsidRDefault="00401264">
          <w:pPr>
            <w:pStyle w:val="Sumrio1"/>
            <w:rPr>
              <w:rFonts w:asciiTheme="minorHAnsi" w:eastAsiaTheme="minorEastAsia" w:hAnsiTheme="minorHAnsi" w:cstheme="minorBidi"/>
              <w:noProof/>
              <w:sz w:val="22"/>
              <w:szCs w:val="22"/>
            </w:rPr>
          </w:pPr>
          <w:hyperlink w:anchor="_Toc135469228" w:history="1">
            <w:r w:rsidR="00D639DA" w:rsidRPr="00D267FD">
              <w:rPr>
                <w:rStyle w:val="Hyperlink"/>
                <w:noProof/>
              </w:rPr>
              <w:t>6.</w:t>
            </w:r>
            <w:r w:rsidR="00D639DA">
              <w:rPr>
                <w:rFonts w:asciiTheme="minorHAnsi" w:eastAsiaTheme="minorEastAsia" w:hAnsiTheme="minorHAnsi" w:cstheme="minorBidi"/>
                <w:noProof/>
                <w:sz w:val="22"/>
                <w:szCs w:val="22"/>
              </w:rPr>
              <w:tab/>
            </w:r>
            <w:r w:rsidR="00D639DA" w:rsidRPr="00D267FD">
              <w:rPr>
                <w:rStyle w:val="Hyperlink"/>
                <w:noProof/>
              </w:rPr>
              <w:t>DA ABERTURA DA SESSÃO, CLASSIFICAÇÃO DAS PROPOSTAS E FORMULAÇÃO DE LANCES</w:t>
            </w:r>
            <w:r w:rsidR="00D639DA">
              <w:rPr>
                <w:noProof/>
                <w:webHidden/>
              </w:rPr>
              <w:tab/>
            </w:r>
            <w:r w:rsidR="00D639DA">
              <w:rPr>
                <w:noProof/>
                <w:webHidden/>
              </w:rPr>
              <w:fldChar w:fldCharType="begin"/>
            </w:r>
            <w:r w:rsidR="00D639DA">
              <w:rPr>
                <w:noProof/>
                <w:webHidden/>
              </w:rPr>
              <w:instrText xml:space="preserve"> PAGEREF _Toc135469228 \h </w:instrText>
            </w:r>
            <w:r w:rsidR="00D639DA">
              <w:rPr>
                <w:noProof/>
                <w:webHidden/>
              </w:rPr>
            </w:r>
            <w:r w:rsidR="00D639DA">
              <w:rPr>
                <w:noProof/>
                <w:webHidden/>
              </w:rPr>
              <w:fldChar w:fldCharType="separate"/>
            </w:r>
            <w:r w:rsidR="00D639DA">
              <w:rPr>
                <w:noProof/>
                <w:webHidden/>
              </w:rPr>
              <w:t>8</w:t>
            </w:r>
            <w:r w:rsidR="00D639DA">
              <w:rPr>
                <w:noProof/>
                <w:webHidden/>
              </w:rPr>
              <w:fldChar w:fldCharType="end"/>
            </w:r>
          </w:hyperlink>
        </w:p>
        <w:p w14:paraId="49A226E0" w14:textId="2D8668B7" w:rsidR="00D639DA" w:rsidRDefault="00401264">
          <w:pPr>
            <w:pStyle w:val="Sumrio1"/>
            <w:rPr>
              <w:rFonts w:asciiTheme="minorHAnsi" w:eastAsiaTheme="minorEastAsia" w:hAnsiTheme="minorHAnsi" w:cstheme="minorBidi"/>
              <w:noProof/>
              <w:sz w:val="22"/>
              <w:szCs w:val="22"/>
            </w:rPr>
          </w:pPr>
          <w:hyperlink w:anchor="_Toc135469229" w:history="1">
            <w:r w:rsidR="00D639DA" w:rsidRPr="00D267FD">
              <w:rPr>
                <w:rStyle w:val="Hyperlink"/>
                <w:noProof/>
              </w:rPr>
              <w:t>7.</w:t>
            </w:r>
            <w:r w:rsidR="00D639DA">
              <w:rPr>
                <w:rFonts w:asciiTheme="minorHAnsi" w:eastAsiaTheme="minorEastAsia" w:hAnsiTheme="minorHAnsi" w:cstheme="minorBidi"/>
                <w:noProof/>
                <w:sz w:val="22"/>
                <w:szCs w:val="22"/>
              </w:rPr>
              <w:tab/>
            </w:r>
            <w:r w:rsidR="00D639DA" w:rsidRPr="00D267FD">
              <w:rPr>
                <w:rStyle w:val="Hyperlink"/>
                <w:noProof/>
              </w:rPr>
              <w:t>DA FASE DE JULGAMENTO</w:t>
            </w:r>
            <w:r w:rsidR="00D639DA">
              <w:rPr>
                <w:noProof/>
                <w:webHidden/>
              </w:rPr>
              <w:tab/>
            </w:r>
            <w:r w:rsidR="00D639DA">
              <w:rPr>
                <w:noProof/>
                <w:webHidden/>
              </w:rPr>
              <w:fldChar w:fldCharType="begin"/>
            </w:r>
            <w:r w:rsidR="00D639DA">
              <w:rPr>
                <w:noProof/>
                <w:webHidden/>
              </w:rPr>
              <w:instrText xml:space="preserve"> PAGEREF _Toc135469229 \h </w:instrText>
            </w:r>
            <w:r w:rsidR="00D639DA">
              <w:rPr>
                <w:noProof/>
                <w:webHidden/>
              </w:rPr>
            </w:r>
            <w:r w:rsidR="00D639DA">
              <w:rPr>
                <w:noProof/>
                <w:webHidden/>
              </w:rPr>
              <w:fldChar w:fldCharType="separate"/>
            </w:r>
            <w:r w:rsidR="00D639DA">
              <w:rPr>
                <w:noProof/>
                <w:webHidden/>
              </w:rPr>
              <w:t>12</w:t>
            </w:r>
            <w:r w:rsidR="00D639DA">
              <w:rPr>
                <w:noProof/>
                <w:webHidden/>
              </w:rPr>
              <w:fldChar w:fldCharType="end"/>
            </w:r>
          </w:hyperlink>
        </w:p>
        <w:p w14:paraId="6CBA2F79" w14:textId="34A0A07D" w:rsidR="00D639DA" w:rsidRDefault="00401264">
          <w:pPr>
            <w:pStyle w:val="Sumrio1"/>
            <w:rPr>
              <w:rFonts w:asciiTheme="minorHAnsi" w:eastAsiaTheme="minorEastAsia" w:hAnsiTheme="minorHAnsi" w:cstheme="minorBidi"/>
              <w:noProof/>
              <w:sz w:val="22"/>
              <w:szCs w:val="22"/>
            </w:rPr>
          </w:pPr>
          <w:hyperlink w:anchor="_Toc135469230" w:history="1">
            <w:r w:rsidR="00D639DA" w:rsidRPr="00D267FD">
              <w:rPr>
                <w:rStyle w:val="Hyperlink"/>
                <w:noProof/>
              </w:rPr>
              <w:t>8.</w:t>
            </w:r>
            <w:r w:rsidR="00D639DA">
              <w:rPr>
                <w:rFonts w:asciiTheme="minorHAnsi" w:eastAsiaTheme="minorEastAsia" w:hAnsiTheme="minorHAnsi" w:cstheme="minorBidi"/>
                <w:noProof/>
                <w:sz w:val="22"/>
                <w:szCs w:val="22"/>
              </w:rPr>
              <w:tab/>
            </w:r>
            <w:r w:rsidR="00D639DA" w:rsidRPr="00D267FD">
              <w:rPr>
                <w:rStyle w:val="Hyperlink"/>
                <w:noProof/>
              </w:rPr>
              <w:t>DA FASE DE HABILITAÇÃO</w:t>
            </w:r>
            <w:r w:rsidR="00D639DA">
              <w:rPr>
                <w:noProof/>
                <w:webHidden/>
              </w:rPr>
              <w:tab/>
            </w:r>
            <w:r w:rsidR="00D639DA">
              <w:rPr>
                <w:noProof/>
                <w:webHidden/>
              </w:rPr>
              <w:fldChar w:fldCharType="begin"/>
            </w:r>
            <w:r w:rsidR="00D639DA">
              <w:rPr>
                <w:noProof/>
                <w:webHidden/>
              </w:rPr>
              <w:instrText xml:space="preserve"> PAGEREF _Toc135469230 \h </w:instrText>
            </w:r>
            <w:r w:rsidR="00D639DA">
              <w:rPr>
                <w:noProof/>
                <w:webHidden/>
              </w:rPr>
            </w:r>
            <w:r w:rsidR="00D639DA">
              <w:rPr>
                <w:noProof/>
                <w:webHidden/>
              </w:rPr>
              <w:fldChar w:fldCharType="separate"/>
            </w:r>
            <w:r w:rsidR="00D639DA">
              <w:rPr>
                <w:noProof/>
                <w:webHidden/>
              </w:rPr>
              <w:t>15</w:t>
            </w:r>
            <w:r w:rsidR="00D639DA">
              <w:rPr>
                <w:noProof/>
                <w:webHidden/>
              </w:rPr>
              <w:fldChar w:fldCharType="end"/>
            </w:r>
          </w:hyperlink>
        </w:p>
        <w:p w14:paraId="3DBC1577" w14:textId="6C7665AB" w:rsidR="00D639DA" w:rsidRPr="00912E6D" w:rsidRDefault="00401264">
          <w:pPr>
            <w:pStyle w:val="Sumrio1"/>
            <w:rPr>
              <w:rFonts w:asciiTheme="minorHAnsi" w:eastAsiaTheme="minorEastAsia" w:hAnsiTheme="minorHAnsi" w:cstheme="minorBidi"/>
              <w:noProof/>
              <w:sz w:val="22"/>
              <w:szCs w:val="22"/>
            </w:rPr>
          </w:pPr>
          <w:hyperlink w:anchor="_Toc135469231" w:history="1">
            <w:r w:rsidR="00D639DA" w:rsidRPr="00912E6D">
              <w:rPr>
                <w:rStyle w:val="Hyperlink"/>
                <w:noProof/>
              </w:rPr>
              <w:t>9.</w:t>
            </w:r>
            <w:r w:rsidR="00D639DA" w:rsidRPr="00912E6D">
              <w:rPr>
                <w:rFonts w:asciiTheme="minorHAnsi" w:eastAsiaTheme="minorEastAsia" w:hAnsiTheme="minorHAnsi" w:cstheme="minorBidi"/>
                <w:noProof/>
                <w:sz w:val="22"/>
                <w:szCs w:val="22"/>
              </w:rPr>
              <w:tab/>
            </w:r>
            <w:r w:rsidR="00D639DA" w:rsidRPr="00912E6D">
              <w:rPr>
                <w:rStyle w:val="Hyperlink"/>
                <w:noProof/>
              </w:rPr>
              <w:t>DA ATA DE REGISTRO DE PREÇOS</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_Toc135469231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73904E45" w14:textId="2BB48707" w:rsidR="00D639DA" w:rsidRDefault="00401264">
          <w:pPr>
            <w:pStyle w:val="Sumrio1"/>
            <w:rPr>
              <w:rFonts w:asciiTheme="minorHAnsi" w:eastAsiaTheme="minorEastAsia" w:hAnsiTheme="minorHAnsi" w:cstheme="minorBidi"/>
              <w:noProof/>
              <w:sz w:val="22"/>
              <w:szCs w:val="22"/>
            </w:rPr>
          </w:pPr>
          <w:hyperlink w:anchor="_Toc135469232" w:history="1">
            <w:r w:rsidR="00D639DA" w:rsidRPr="00912E6D">
              <w:rPr>
                <w:rStyle w:val="Hyperlink"/>
                <w:noProof/>
              </w:rPr>
              <w:t>10.</w:t>
            </w:r>
            <w:r w:rsidR="00D639DA" w:rsidRPr="00912E6D">
              <w:rPr>
                <w:rFonts w:asciiTheme="minorHAnsi" w:eastAsiaTheme="minorEastAsia" w:hAnsiTheme="minorHAnsi" w:cstheme="minorBidi"/>
                <w:noProof/>
                <w:sz w:val="22"/>
                <w:szCs w:val="22"/>
              </w:rPr>
              <w:tab/>
            </w:r>
            <w:r w:rsidR="00D639DA" w:rsidRPr="00912E6D">
              <w:rPr>
                <w:rStyle w:val="Hyperlink"/>
                <w:noProof/>
              </w:rPr>
              <w:t>DA FORMAÇÃO DO CADASTRO DE RESERVA</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_Toc135469232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02179752" w14:textId="1AFEB984" w:rsidR="00D639DA" w:rsidRDefault="00401264">
          <w:pPr>
            <w:pStyle w:val="Sumrio1"/>
            <w:rPr>
              <w:rFonts w:asciiTheme="minorHAnsi" w:eastAsiaTheme="minorEastAsia" w:hAnsiTheme="minorHAnsi" w:cstheme="minorBidi"/>
              <w:noProof/>
              <w:sz w:val="22"/>
              <w:szCs w:val="22"/>
            </w:rPr>
          </w:pPr>
          <w:hyperlink w:anchor="_Toc135469233" w:history="1">
            <w:r w:rsidR="00D639DA" w:rsidRPr="00D267FD">
              <w:rPr>
                <w:rStyle w:val="Hyperlink"/>
                <w:noProof/>
              </w:rPr>
              <w:t>11.</w:t>
            </w:r>
            <w:r w:rsidR="00D639DA">
              <w:rPr>
                <w:rFonts w:asciiTheme="minorHAnsi" w:eastAsiaTheme="minorEastAsia" w:hAnsiTheme="minorHAnsi" w:cstheme="minorBidi"/>
                <w:noProof/>
                <w:sz w:val="22"/>
                <w:szCs w:val="22"/>
              </w:rPr>
              <w:tab/>
            </w:r>
            <w:r w:rsidR="00D639DA" w:rsidRPr="00D267FD">
              <w:rPr>
                <w:rStyle w:val="Hyperlink"/>
                <w:noProof/>
              </w:rPr>
              <w:t>DOS RECURSOS</w:t>
            </w:r>
            <w:r w:rsidR="00D639DA">
              <w:rPr>
                <w:noProof/>
                <w:webHidden/>
              </w:rPr>
              <w:tab/>
            </w:r>
            <w:r w:rsidR="00D639DA">
              <w:rPr>
                <w:noProof/>
                <w:webHidden/>
              </w:rPr>
              <w:fldChar w:fldCharType="begin"/>
            </w:r>
            <w:r w:rsidR="00D639DA">
              <w:rPr>
                <w:noProof/>
                <w:webHidden/>
              </w:rPr>
              <w:instrText xml:space="preserve"> PAGEREF _Toc135469233 \h </w:instrText>
            </w:r>
            <w:r w:rsidR="00D639DA">
              <w:rPr>
                <w:noProof/>
                <w:webHidden/>
              </w:rPr>
            </w:r>
            <w:r w:rsidR="00D639DA">
              <w:rPr>
                <w:noProof/>
                <w:webHidden/>
              </w:rPr>
              <w:fldChar w:fldCharType="separate"/>
            </w:r>
            <w:r w:rsidR="00D639DA">
              <w:rPr>
                <w:noProof/>
                <w:webHidden/>
              </w:rPr>
              <w:t>18</w:t>
            </w:r>
            <w:r w:rsidR="00D639DA">
              <w:rPr>
                <w:noProof/>
                <w:webHidden/>
              </w:rPr>
              <w:fldChar w:fldCharType="end"/>
            </w:r>
          </w:hyperlink>
        </w:p>
        <w:p w14:paraId="5E14C7C7" w14:textId="1311F0BE" w:rsidR="00D639DA" w:rsidRDefault="00401264">
          <w:pPr>
            <w:pStyle w:val="Sumrio1"/>
            <w:rPr>
              <w:rFonts w:asciiTheme="minorHAnsi" w:eastAsiaTheme="minorEastAsia" w:hAnsiTheme="minorHAnsi" w:cstheme="minorBidi"/>
              <w:noProof/>
              <w:sz w:val="22"/>
              <w:szCs w:val="22"/>
            </w:rPr>
          </w:pPr>
          <w:hyperlink w:anchor="_Toc135469234" w:history="1">
            <w:r w:rsidR="00D639DA" w:rsidRPr="00D267FD">
              <w:rPr>
                <w:rStyle w:val="Hyperlink"/>
                <w:noProof/>
              </w:rPr>
              <w:t>12.</w:t>
            </w:r>
            <w:r w:rsidR="00D639DA">
              <w:rPr>
                <w:rFonts w:asciiTheme="minorHAnsi" w:eastAsiaTheme="minorEastAsia" w:hAnsiTheme="minorHAnsi" w:cstheme="minorBidi"/>
                <w:noProof/>
                <w:sz w:val="22"/>
                <w:szCs w:val="22"/>
              </w:rPr>
              <w:tab/>
            </w:r>
            <w:r w:rsidR="00D639DA" w:rsidRPr="00D267FD">
              <w:rPr>
                <w:rStyle w:val="Hyperlink"/>
                <w:noProof/>
              </w:rPr>
              <w:t>DAS INFRAÇÕES ADMINISTRATIVAS E SANÇÕES</w:t>
            </w:r>
            <w:r w:rsidR="00D639DA">
              <w:rPr>
                <w:noProof/>
                <w:webHidden/>
              </w:rPr>
              <w:tab/>
            </w:r>
            <w:r w:rsidR="00D639DA">
              <w:rPr>
                <w:noProof/>
                <w:webHidden/>
              </w:rPr>
              <w:fldChar w:fldCharType="begin"/>
            </w:r>
            <w:r w:rsidR="00D639DA">
              <w:rPr>
                <w:noProof/>
                <w:webHidden/>
              </w:rPr>
              <w:instrText xml:space="preserve"> PAGEREF _Toc135469234 \h </w:instrText>
            </w:r>
            <w:r w:rsidR="00D639DA">
              <w:rPr>
                <w:noProof/>
                <w:webHidden/>
              </w:rPr>
            </w:r>
            <w:r w:rsidR="00D639DA">
              <w:rPr>
                <w:noProof/>
                <w:webHidden/>
              </w:rPr>
              <w:fldChar w:fldCharType="separate"/>
            </w:r>
            <w:r w:rsidR="00D639DA">
              <w:rPr>
                <w:noProof/>
                <w:webHidden/>
              </w:rPr>
              <w:t>19</w:t>
            </w:r>
            <w:r w:rsidR="00D639DA">
              <w:rPr>
                <w:noProof/>
                <w:webHidden/>
              </w:rPr>
              <w:fldChar w:fldCharType="end"/>
            </w:r>
          </w:hyperlink>
        </w:p>
        <w:p w14:paraId="5E4116D4" w14:textId="23E84C35" w:rsidR="00D639DA" w:rsidRDefault="00401264">
          <w:pPr>
            <w:pStyle w:val="Sumrio1"/>
            <w:rPr>
              <w:rFonts w:asciiTheme="minorHAnsi" w:eastAsiaTheme="minorEastAsia" w:hAnsiTheme="minorHAnsi" w:cstheme="minorBidi"/>
              <w:noProof/>
              <w:sz w:val="22"/>
              <w:szCs w:val="22"/>
            </w:rPr>
          </w:pPr>
          <w:hyperlink w:anchor="_Toc135469235" w:history="1">
            <w:r w:rsidR="00D639DA" w:rsidRPr="00D267FD">
              <w:rPr>
                <w:rStyle w:val="Hyperlink"/>
                <w:noProof/>
              </w:rPr>
              <w:t>13.</w:t>
            </w:r>
            <w:r w:rsidR="00D639DA">
              <w:rPr>
                <w:rFonts w:asciiTheme="minorHAnsi" w:eastAsiaTheme="minorEastAsia" w:hAnsiTheme="minorHAnsi" w:cstheme="minorBidi"/>
                <w:noProof/>
                <w:sz w:val="22"/>
                <w:szCs w:val="22"/>
              </w:rPr>
              <w:tab/>
            </w:r>
            <w:r w:rsidR="00D639DA" w:rsidRPr="00D267FD">
              <w:rPr>
                <w:rStyle w:val="Hyperlink"/>
                <w:noProof/>
              </w:rPr>
              <w:t>DA IMPUGNAÇÃO AO EDITAL E DO PEDIDO DE ESCLARECIMENTO</w:t>
            </w:r>
            <w:r w:rsidR="00D639DA">
              <w:rPr>
                <w:noProof/>
                <w:webHidden/>
              </w:rPr>
              <w:tab/>
            </w:r>
            <w:r w:rsidR="00D639DA">
              <w:rPr>
                <w:noProof/>
                <w:webHidden/>
              </w:rPr>
              <w:fldChar w:fldCharType="begin"/>
            </w:r>
            <w:r w:rsidR="00D639DA">
              <w:rPr>
                <w:noProof/>
                <w:webHidden/>
              </w:rPr>
              <w:instrText xml:space="preserve"> PAGEREF _Toc135469235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0215A553" w14:textId="2553E0CA" w:rsidR="00D639DA" w:rsidRDefault="00401264">
          <w:pPr>
            <w:pStyle w:val="Sumrio1"/>
            <w:rPr>
              <w:rFonts w:asciiTheme="minorHAnsi" w:eastAsiaTheme="minorEastAsia" w:hAnsiTheme="minorHAnsi" w:cstheme="minorBidi"/>
              <w:noProof/>
              <w:sz w:val="22"/>
              <w:szCs w:val="22"/>
            </w:rPr>
          </w:pPr>
          <w:hyperlink w:anchor="_Toc135469236" w:history="1">
            <w:r w:rsidR="00D639DA" w:rsidRPr="00D267FD">
              <w:rPr>
                <w:rStyle w:val="Hyperlink"/>
                <w:noProof/>
              </w:rPr>
              <w:t>14.</w:t>
            </w:r>
            <w:r w:rsidR="00D639DA">
              <w:rPr>
                <w:rFonts w:asciiTheme="minorHAnsi" w:eastAsiaTheme="minorEastAsia" w:hAnsiTheme="minorHAnsi" w:cstheme="minorBidi"/>
                <w:noProof/>
                <w:sz w:val="22"/>
                <w:szCs w:val="22"/>
              </w:rPr>
              <w:tab/>
            </w:r>
            <w:r w:rsidR="00D639DA" w:rsidRPr="00D267FD">
              <w:rPr>
                <w:rStyle w:val="Hyperlink"/>
                <w:noProof/>
              </w:rPr>
              <w:t>DAS DISPOSIÇÕES GERAIS</w:t>
            </w:r>
            <w:r w:rsidR="00D639DA">
              <w:rPr>
                <w:noProof/>
                <w:webHidden/>
              </w:rPr>
              <w:tab/>
            </w:r>
            <w:r w:rsidR="00D639DA">
              <w:rPr>
                <w:noProof/>
                <w:webHidden/>
              </w:rPr>
              <w:fldChar w:fldCharType="begin"/>
            </w:r>
            <w:r w:rsidR="00D639DA">
              <w:rPr>
                <w:noProof/>
                <w:webHidden/>
              </w:rPr>
              <w:instrText xml:space="preserve"> PAGEREF _Toc135469236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3C969B82" w14:textId="1374209F"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18ABD483"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EDITAL</w:t>
      </w:r>
      <w:r w:rsidR="004476E5">
        <w:rPr>
          <w:rFonts w:cs="Arial"/>
          <w:b/>
          <w:bCs/>
          <w:i w:val="0"/>
          <w:iCs w:val="0"/>
        </w:rPr>
        <w:t xml:space="preserve"> 11/2024</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48524190"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E4367D">
        <w:rPr>
          <w:rFonts w:ascii="Arial" w:hAnsi="Arial" w:cs="Arial"/>
          <w:b/>
          <w:color w:val="000000"/>
          <w:sz w:val="20"/>
          <w:szCs w:val="20"/>
        </w:rPr>
        <w:t>12/2024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bookmarkStart w:id="1" w:name="_Toc135469223"/>
      <w:r w:rsidRPr="006E1990">
        <w:rPr>
          <w:lang w:eastAsia="en-US"/>
        </w:rPr>
        <w:t>DO OBJETO</w:t>
      </w:r>
      <w:bookmarkEnd w:id="1"/>
    </w:p>
    <w:p w14:paraId="4B43170C" w14:textId="7B38819B" w:rsidR="003C7A23" w:rsidRPr="006E1990" w:rsidRDefault="003C7A23" w:rsidP="00C87581">
      <w:pPr>
        <w:pStyle w:val="Nivel2"/>
      </w:pPr>
      <w:r w:rsidRPr="006E1990">
        <w:t xml:space="preserve">O objeto da presente licitação é </w:t>
      </w:r>
      <w:r w:rsidR="00175778">
        <w:t>o</w:t>
      </w:r>
      <w:r w:rsidR="002A14D1">
        <w:t xml:space="preserve"> </w:t>
      </w:r>
      <w:r w:rsidR="00B73550">
        <w:t xml:space="preserve">REGISTRO DE PREÇO PARA </w:t>
      </w:r>
      <w:r w:rsidR="00E4367D">
        <w:t>APARELHO DE ULTRASSOM</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bookmarkStart w:id="2" w:name="_Toc135469224"/>
      <w:r w:rsidRPr="00912E6D">
        <w:t xml:space="preserve">DO REGISTRO DE PREÇOS </w:t>
      </w:r>
      <w:bookmarkEnd w:id="2"/>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lastRenderedPageBreak/>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3" w:name="_Ref117000692"/>
      <w:r w:rsidRPr="58B543D9">
        <w:t xml:space="preserve">Não </w:t>
      </w:r>
      <w:r w:rsidRPr="00535637">
        <w:t>poderão</w:t>
      </w:r>
      <w:r w:rsidRPr="58B543D9">
        <w:t xml:space="preserve"> disputar esta licitação:</w:t>
      </w:r>
      <w:bookmarkEnd w:id="3"/>
    </w:p>
    <w:p w14:paraId="341C241D" w14:textId="77777777" w:rsidR="003C7A23" w:rsidRPr="006E1990" w:rsidRDefault="003C7A23" w:rsidP="00535637">
      <w:pPr>
        <w:pStyle w:val="Nivel3"/>
      </w:pPr>
      <w:bookmarkStart w:id="4" w:name="_Ref113883338"/>
      <w:r w:rsidRPr="006E1990">
        <w:t>aquele que não atenda às condições deste Edital e seu(s) anexo(s);</w:t>
      </w:r>
    </w:p>
    <w:p w14:paraId="36A2458D" w14:textId="77777777" w:rsidR="003C7A23" w:rsidRPr="004A0EA0" w:rsidRDefault="003C7A23" w:rsidP="00535637">
      <w:pPr>
        <w:pStyle w:val="Nivel3"/>
      </w:pPr>
      <w:bookmarkStart w:id="5" w:name="_Ref114659912"/>
      <w:r w:rsidRPr="004A0EA0">
        <w:t>autor do anteprojeto, do projeto básico ou do projeto executivo, pessoa física ou jurídica, quando a licitação versar sobre serviços ou fornecimento de bens a ele relacionados;</w:t>
      </w:r>
      <w:bookmarkEnd w:id="4"/>
      <w:bookmarkEnd w:id="5"/>
    </w:p>
    <w:p w14:paraId="0A5303F9" w14:textId="77777777" w:rsidR="003C7A23" w:rsidRPr="004A0EA0" w:rsidRDefault="003C7A23" w:rsidP="00535637">
      <w:pPr>
        <w:pStyle w:val="Nivel3"/>
      </w:pPr>
      <w:bookmarkStart w:id="6" w:name="_Ref114659913"/>
      <w:bookmarkStart w:id="7"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4A0EA0">
        <w:t xml:space="preserve"> </w:t>
      </w:r>
      <w:bookmarkEnd w:id="7"/>
    </w:p>
    <w:p w14:paraId="2DCC2174" w14:textId="77777777" w:rsidR="003C7A23" w:rsidRPr="006E1990" w:rsidRDefault="003C7A23" w:rsidP="00535637">
      <w:pPr>
        <w:pStyle w:val="Nivel3"/>
      </w:pPr>
      <w:bookmarkStart w:id="8"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8"/>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9" w:name="_Ref113883579"/>
      <w:r w:rsidRPr="006E1990">
        <w:t>empresas controladoras, controladas ou coligadas, nos termos da Lei nº 6.404, de 15 de dezembro de 1976, concorrendo entre si;</w:t>
      </w:r>
      <w:bookmarkEnd w:id="9"/>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10" w:name="_Ref113962336"/>
      <w:r w:rsidRPr="006E1990">
        <w:t xml:space="preserve">agente </w:t>
      </w:r>
      <w:r w:rsidRPr="00535637">
        <w:t>público</w:t>
      </w:r>
      <w:r w:rsidRPr="006E1990">
        <w:t xml:space="preserve"> do órgão ou entidade licitante;</w:t>
      </w:r>
      <w:bookmarkEnd w:id="10"/>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70CF7F8D"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639DA">
        <w:t>3.7.4</w:t>
      </w:r>
      <w:r w:rsidRPr="00535637">
        <w:fldChar w:fldCharType="end"/>
      </w:r>
      <w:r w:rsidRPr="00535637">
        <w:t xml:space="preserve"> será também aplicado ao licitante que atue em substituição a outra pessoa, física ou jurídica, com o intuito de burlar a efetividade da sanção a ela </w:t>
      </w:r>
      <w:r w:rsidRPr="00535637">
        <w:lastRenderedPageBreak/>
        <w:t>aplicada, inclusive a sua controladora, controlada ou coligada, desde que devidamente comprovado o ilícito ou a utilização fraudulenta da personalidade jurídica do licitante.</w:t>
      </w:r>
    </w:p>
    <w:p w14:paraId="0C467367" w14:textId="0CB91367" w:rsidR="003C7A23" w:rsidRPr="00535637" w:rsidRDefault="003C7A23" w:rsidP="00535637">
      <w:pPr>
        <w:pStyle w:val="Nivel2"/>
      </w:pPr>
      <w:bookmarkStart w:id="11" w:name="art14§2"/>
      <w:bookmarkEnd w:id="11"/>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639DA">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639DA">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2" w:name="art14§3"/>
      <w:bookmarkEnd w:id="12"/>
      <w:r w:rsidRPr="00535637">
        <w:t>Equiparam-se aos autores do projeto as empresas integrantes do mesmo grupo econômico.</w:t>
      </w:r>
    </w:p>
    <w:p w14:paraId="144ECC01" w14:textId="7DAF73ED" w:rsidR="003C7A23" w:rsidRPr="004A0EA0" w:rsidRDefault="003C7A23" w:rsidP="00535637">
      <w:pPr>
        <w:pStyle w:val="Nivel2"/>
      </w:pPr>
      <w:bookmarkStart w:id="13" w:name="art14§4"/>
      <w:bookmarkEnd w:id="13"/>
      <w:r>
        <w:t xml:space="preserve">O disposto nos itens </w:t>
      </w:r>
      <w:r>
        <w:fldChar w:fldCharType="begin"/>
      </w:r>
      <w:r>
        <w:instrText xml:space="preserve"> REF _Ref114659912 \r \h  \* MERGEFORMAT </w:instrText>
      </w:r>
      <w:r>
        <w:fldChar w:fldCharType="separate"/>
      </w:r>
      <w:r w:rsidR="00D639DA">
        <w:t>3.7.2</w:t>
      </w:r>
      <w:r>
        <w:fldChar w:fldCharType="end"/>
      </w:r>
      <w:r>
        <w:t xml:space="preserve"> e </w:t>
      </w:r>
      <w:r>
        <w:fldChar w:fldCharType="begin"/>
      </w:r>
      <w:r>
        <w:instrText xml:space="preserve"> REF _Ref114659913 \r \h  \* MERGEFORMAT </w:instrText>
      </w:r>
      <w:r>
        <w:fldChar w:fldCharType="separate"/>
      </w:r>
      <w:r w:rsidR="00D639DA">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4" w:name="art14§5"/>
      <w:bookmarkEnd w:id="14"/>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13C69EA1"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639DA">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bookmarkStart w:id="15" w:name="_Toc135469226"/>
      <w:r w:rsidRPr="006E1990">
        <w:t>DA APRESENTAÇÃO DA PROPOSTA E DOS DOCUMENTOS DE HABILITAÇÃO</w:t>
      </w:r>
      <w:bookmarkEnd w:id="15"/>
    </w:p>
    <w:p w14:paraId="0CDC5BEB" w14:textId="77777777" w:rsidR="003C7A23" w:rsidRPr="006E1990" w:rsidRDefault="003C7A23" w:rsidP="00535637">
      <w:pPr>
        <w:pStyle w:val="Nivel2"/>
      </w:pPr>
      <w:bookmarkStart w:id="16"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6"/>
    </w:p>
    <w:p w14:paraId="7CBEF247" w14:textId="43E5D589" w:rsidR="003C7A23" w:rsidRPr="006E1990" w:rsidRDefault="003C7A23" w:rsidP="00535637">
      <w:pPr>
        <w:pStyle w:val="Nivel2"/>
      </w:pPr>
      <w:bookmarkStart w:id="17"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r>
      <w:r w:rsidRPr="006E1990">
        <w:rPr>
          <w:highlight w:val="yellow"/>
        </w:rPr>
        <w:fldChar w:fldCharType="separate"/>
      </w:r>
      <w:r w:rsidR="00D639DA">
        <w:t>8.1.1</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D639DA">
        <w:t>8.13.1</w:t>
      </w:r>
      <w:r w:rsidRPr="006E1990">
        <w:fldChar w:fldCharType="end"/>
      </w:r>
      <w:r w:rsidRPr="006E1990">
        <w:t xml:space="preserve"> deste Edital.</w:t>
      </w:r>
      <w:bookmarkEnd w:id="17"/>
    </w:p>
    <w:p w14:paraId="44617891" w14:textId="77777777" w:rsidR="003C7A23" w:rsidRPr="006E1990" w:rsidRDefault="003C7A23" w:rsidP="00535637">
      <w:pPr>
        <w:pStyle w:val="Nivel2"/>
      </w:pPr>
      <w:bookmarkStart w:id="18" w:name="_Ref113968921"/>
      <w:r w:rsidRPr="58B543D9">
        <w:t xml:space="preserve">No </w:t>
      </w:r>
      <w:r w:rsidRPr="00535637">
        <w:t>cadastramento</w:t>
      </w:r>
      <w:r w:rsidRPr="58B543D9">
        <w:t xml:space="preserve"> da proposta inicial, o licitante declarará, em campo próprio do sistema, que:</w:t>
      </w:r>
      <w:bookmarkEnd w:id="18"/>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lastRenderedPageBreak/>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9"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19"/>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1351DD21"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639DA">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20"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0"/>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lastRenderedPageBreak/>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0CCB8489"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639DA">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bookmarkStart w:id="21" w:name="_Toc135469227"/>
      <w:r w:rsidRPr="006E1990">
        <w:t>DO PREENCHIMENTO DA PROPOSTA</w:t>
      </w:r>
      <w:bookmarkEnd w:id="21"/>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lastRenderedPageBreak/>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bookmarkStart w:id="22" w:name="_Toc135469228"/>
      <w:r w:rsidRPr="006E1990">
        <w:t>DA ABERTURA DA SESSÃO, CLASSIFICAÇÃO DAS PROPOSTAS E FORMULAÇÃO DE LANCES</w:t>
      </w:r>
      <w:bookmarkEnd w:id="22"/>
    </w:p>
    <w:p w14:paraId="4998B02F" w14:textId="77777777" w:rsidR="003C7A23" w:rsidRPr="00B9651D" w:rsidRDefault="003C7A23" w:rsidP="00B9651D">
      <w:pPr>
        <w:pStyle w:val="Nivel2"/>
      </w:pPr>
      <w:bookmarkStart w:id="23"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lastRenderedPageBreak/>
        <w:t>O procedimento seguirá de acordo com o modo de disputa adotado.</w:t>
      </w:r>
    </w:p>
    <w:p w14:paraId="295E04E1" w14:textId="77777777" w:rsidR="003C7A23" w:rsidRPr="00B9651D" w:rsidRDefault="003C7A23" w:rsidP="00B9651D">
      <w:pPr>
        <w:pStyle w:val="Nivel2"/>
      </w:pPr>
      <w:bookmarkStart w:id="24"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25" w:name="_Hlk113697816"/>
      <w:bookmarkEnd w:id="24"/>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26" w:name="_Hlk113631522"/>
      <w:bookmarkEnd w:id="25"/>
    </w:p>
    <w:bookmarkEnd w:id="26"/>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7"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8" w:name="_Ref116973524"/>
      <w:bookmarkEnd w:id="27"/>
      <w:r>
        <w:t xml:space="preserve">Caso seja </w:t>
      </w:r>
      <w:r w:rsidRPr="00B9651D">
        <w:t>adotado</w:t>
      </w:r>
      <w:r>
        <w:t xml:space="preserve"> para o envio de lances no pregão eletrônico o modo de disputa “fechado e aberto”, poderão participar da etapa aberta somente os licitantes que apresentarem a proposta </w:t>
      </w:r>
      <w:r>
        <w:lastRenderedPageBreak/>
        <w:t>de menor preço/ maior percentual de desconto e os das propostas até 10% (dez por cento) superiores/inferiores àquela, em que os licitantes apresentarão lances públicos e sucessivos, até o encerramento da sessão e eventuais prorrogações.</w:t>
      </w:r>
      <w:bookmarkEnd w:id="28"/>
    </w:p>
    <w:p w14:paraId="04B2A371" w14:textId="15B33C28"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639DA">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w:t>
      </w:r>
      <w:r w:rsidRPr="58B543D9">
        <w:rPr>
          <w:rFonts w:eastAsia="Zurich BT"/>
        </w:rPr>
        <w:lastRenderedPageBreak/>
        <w:t xml:space="preserve">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9" w:name="art60§1i"/>
      <w:bookmarkEnd w:id="29"/>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30" w:name="art60§1ii"/>
      <w:bookmarkEnd w:id="30"/>
      <w:r w:rsidRPr="00B9651D">
        <w:lastRenderedPageBreak/>
        <w:t>empresas</w:t>
      </w:r>
      <w:r w:rsidRPr="006E1990">
        <w:t xml:space="preserve"> brasileiras;</w:t>
      </w:r>
    </w:p>
    <w:p w14:paraId="3C7CB0B5" w14:textId="77777777" w:rsidR="003C7A23" w:rsidRPr="006E1990" w:rsidRDefault="003C7A23" w:rsidP="00B9651D">
      <w:pPr>
        <w:pStyle w:val="Nivel4"/>
      </w:pPr>
      <w:bookmarkStart w:id="31" w:name="art60§1iii"/>
      <w:bookmarkEnd w:id="31"/>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32" w:name="art60§1iv"/>
      <w:bookmarkEnd w:id="32"/>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3" w:name="_Hlk117016948"/>
    </w:p>
    <w:bookmarkEnd w:id="33"/>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23"/>
    </w:p>
    <w:p w14:paraId="5A499404" w14:textId="77777777" w:rsidR="003C7A23" w:rsidRPr="006E1990" w:rsidRDefault="003C7A23" w:rsidP="00A974BD">
      <w:pPr>
        <w:pStyle w:val="Nivel01"/>
      </w:pPr>
      <w:bookmarkStart w:id="34" w:name="_Toc135469229"/>
      <w:r w:rsidRPr="006E1990">
        <w:t>DA FASE DE JULGAMENTO</w:t>
      </w:r>
      <w:bookmarkEnd w:id="34"/>
    </w:p>
    <w:p w14:paraId="53C049A6" w14:textId="27B1DED5" w:rsidR="003C7A23" w:rsidRPr="006E1990" w:rsidRDefault="003C7A23" w:rsidP="00B9651D">
      <w:pPr>
        <w:pStyle w:val="Nivel2"/>
        <w:rPr>
          <w:b/>
          <w:bCs/>
          <w:lang w:eastAsia="ar-SA"/>
        </w:rPr>
      </w:pPr>
      <w:bookmarkStart w:id="35"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639DA">
        <w:t>3.7</w:t>
      </w:r>
      <w:r w:rsidRPr="006E1990">
        <w:fldChar w:fldCharType="end"/>
      </w:r>
      <w:r w:rsidRPr="006E1990">
        <w:t xml:space="preserve"> do edital, </w:t>
      </w:r>
      <w:bookmarkEnd w:id="35"/>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lastRenderedPageBreak/>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36"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36"/>
    <w:p w14:paraId="1C5C73A9" w14:textId="2EAB18E9"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D639DA">
        <w:t>3.5.1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deste edital.</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lastRenderedPageBreak/>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7"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7"/>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8" w:name="_Hlk126568356"/>
      <w:r w:rsidRPr="006E1990">
        <w:t>Em se tratando de serviços de engenharia, o licitante vencedor será convocado a apresentar à Administração, por meio eletrônico, as planilhas com indicação dos quantitativos e dos custos unitários</w:t>
      </w:r>
      <w:bookmarkEnd w:id="38"/>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lastRenderedPageBreak/>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bookmarkStart w:id="39" w:name="_Toc135469230"/>
      <w:r w:rsidRPr="006E1990">
        <w:t>DA FASE DE HABILITAÇÃO</w:t>
      </w:r>
      <w:bookmarkEnd w:id="39"/>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lastRenderedPageBreak/>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lastRenderedPageBreak/>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lastRenderedPageBreak/>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40"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40"/>
    </w:p>
    <w:p w14:paraId="4506CAE4" w14:textId="6BD3F838" w:rsidR="003C7A23" w:rsidRPr="00B9651D" w:rsidRDefault="003C7A23" w:rsidP="00B9651D">
      <w:pPr>
        <w:pStyle w:val="Nivel2"/>
      </w:pPr>
      <w:bookmarkStart w:id="41"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D639DA">
        <w:t>8.13.1</w:t>
      </w:r>
      <w:r w:rsidRPr="00B9651D">
        <w:fldChar w:fldCharType="end"/>
      </w:r>
      <w:r w:rsidRPr="00B9651D">
        <w:t>.</w:t>
      </w:r>
      <w:bookmarkEnd w:id="41"/>
    </w:p>
    <w:p w14:paraId="30A25CB4" w14:textId="77777777" w:rsidR="003C7A23" w:rsidRPr="00B9651D" w:rsidRDefault="003C7A23" w:rsidP="00B9651D">
      <w:pPr>
        <w:pStyle w:val="Nivel2"/>
      </w:pPr>
      <w:bookmarkStart w:id="42" w:name="_Ref114665515"/>
      <w:r w:rsidRPr="00B9651D">
        <w:lastRenderedPageBreak/>
        <w:t>Somente serão disponibilizados para acesso público os documentos de habilitação do licitante cuja proposta atenda ao edital de licitação, após concluídos os procedimentos de que trata o subitem anterior</w:t>
      </w:r>
      <w:bookmarkEnd w:id="42"/>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686387" w:rsidRDefault="008E7D8A" w:rsidP="00A974BD">
      <w:pPr>
        <w:pStyle w:val="Nivel01"/>
      </w:pPr>
      <w:bookmarkStart w:id="43" w:name="_Toc135469231"/>
      <w:r w:rsidRPr="00686387">
        <w:t>DA ATA DE REGISTRO DE PREÇOS</w:t>
      </w:r>
      <w:bookmarkEnd w:id="43"/>
    </w:p>
    <w:p w14:paraId="1AB9472D" w14:textId="03906D0D" w:rsidR="00B9651D" w:rsidRPr="00686387" w:rsidRDefault="008E7D8A" w:rsidP="00B9651D">
      <w:pPr>
        <w:pStyle w:val="Nivel2"/>
      </w:pPr>
      <w:r w:rsidRPr="00686387">
        <w:t xml:space="preserve">Homologado o resultado da licitação, </w:t>
      </w:r>
      <w:r w:rsidR="001F3016" w:rsidRPr="00686387">
        <w:t xml:space="preserve">o licitante mais bem classificado terá </w:t>
      </w:r>
      <w:r w:rsidRPr="00686387">
        <w:t xml:space="preserve">o prazo de </w:t>
      </w:r>
      <w:r w:rsidR="00686387" w:rsidRPr="00686387">
        <w:t>05 (cinco)</w:t>
      </w:r>
      <w:r w:rsidRPr="00686387">
        <w:t xml:space="preserve"> dias, contados a partir da data de sua convocação, para assinar a Ata de Registro de Preços, cujo prazo de validade encontra-se nela fixado, sob pena de </w:t>
      </w:r>
      <w:r w:rsidR="001F3016" w:rsidRPr="00686387">
        <w:t xml:space="preserve">decadência </w:t>
      </w:r>
      <w:r w:rsidRPr="00686387">
        <w:t xml:space="preserve">do direito à contratação, sem prejuízo das sanções previstas </w:t>
      </w:r>
      <w:r w:rsidR="001F3016" w:rsidRPr="00686387">
        <w:t>na Lei nº 14.133, de 2021</w:t>
      </w:r>
      <w:r w:rsidRPr="00686387">
        <w:t xml:space="preserve">. </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bookmarkStart w:id="44" w:name="_Toc135469232"/>
      <w:r w:rsidRPr="00686387">
        <w:t>DA FORMAÇÃO DO CADASTRO DE RESERVA</w:t>
      </w:r>
      <w:bookmarkEnd w:id="44"/>
      <w:r w:rsidRPr="00686387">
        <w:t xml:space="preserve">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lastRenderedPageBreak/>
        <w:t xml:space="preserve">dos licitantes </w:t>
      </w:r>
      <w:bookmarkStart w:id="45" w:name="_Hlk132991372"/>
      <w:r w:rsidRPr="00686387">
        <w:t xml:space="preserve">que </w:t>
      </w:r>
      <w:bookmarkStart w:id="46"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45"/>
      <w:r w:rsidRPr="00686387">
        <w:t>o</w:t>
      </w:r>
      <w:bookmarkEnd w:id="46"/>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lastRenderedPageBreak/>
        <w:t xml:space="preserve"> – DA DOTAÇÃO ORÇAMENTÁRIA:</w:t>
      </w:r>
    </w:p>
    <w:p w14:paraId="57B2906E" w14:textId="64F45EE1" w:rsidR="00967E57" w:rsidRDefault="00967E57" w:rsidP="00967E57">
      <w:pPr>
        <w:pStyle w:val="Nivel01"/>
        <w:numPr>
          <w:ilvl w:val="0"/>
          <w:numId w:val="0"/>
        </w:numPr>
        <w:ind w:left="360"/>
      </w:pPr>
      <w:r>
        <w:t xml:space="preserve"> As despesas provenientes deste contrato serão empenhadas por conta das seguintes rubricas:</w:t>
      </w:r>
    </w:p>
    <w:p w14:paraId="7019ADF3" w14:textId="3141C78F" w:rsidR="00967E57" w:rsidRPr="0066274F" w:rsidRDefault="00967E57" w:rsidP="00967E57">
      <w:pPr>
        <w:pStyle w:val="Nivel01"/>
        <w:numPr>
          <w:ilvl w:val="0"/>
          <w:numId w:val="0"/>
        </w:numPr>
        <w:ind w:left="360"/>
      </w:pPr>
      <w:r w:rsidRPr="0066274F">
        <w:t xml:space="preserve">SECRETARIA MUNICIPAL DE </w:t>
      </w:r>
      <w:r w:rsidR="00E4367D" w:rsidRPr="0066274F">
        <w:t>SAÚDE</w:t>
      </w:r>
    </w:p>
    <w:p w14:paraId="243344AE" w14:textId="3C4693F0" w:rsidR="00967E57" w:rsidRPr="0066274F" w:rsidRDefault="00967E57" w:rsidP="00967E57">
      <w:pPr>
        <w:pStyle w:val="Nivel01"/>
        <w:numPr>
          <w:ilvl w:val="0"/>
          <w:numId w:val="0"/>
        </w:numPr>
        <w:ind w:left="360"/>
      </w:pPr>
      <w:r w:rsidRPr="0066274F">
        <w:t>Órgão: 0</w:t>
      </w:r>
      <w:r w:rsidR="0066274F" w:rsidRPr="0066274F">
        <w:t>8</w:t>
      </w:r>
    </w:p>
    <w:p w14:paraId="5DDE955C" w14:textId="1310F1F9" w:rsidR="00967E57" w:rsidRPr="0066274F" w:rsidRDefault="00967E57" w:rsidP="00967E57">
      <w:pPr>
        <w:pStyle w:val="Nivel01"/>
        <w:numPr>
          <w:ilvl w:val="0"/>
          <w:numId w:val="0"/>
        </w:numPr>
        <w:ind w:left="360"/>
      </w:pPr>
      <w:r w:rsidRPr="0066274F">
        <w:t>Unidade: 0</w:t>
      </w:r>
      <w:r w:rsidR="0066274F" w:rsidRPr="0066274F">
        <w:t>8</w:t>
      </w:r>
      <w:r w:rsidRPr="0066274F">
        <w:t>.0</w:t>
      </w:r>
      <w:r w:rsidR="0066274F" w:rsidRPr="0066274F">
        <w:t>1</w:t>
      </w:r>
    </w:p>
    <w:p w14:paraId="2EDF5D50" w14:textId="4072B81C" w:rsidR="009556D2" w:rsidRPr="0066274F" w:rsidRDefault="00967E57" w:rsidP="009556D2">
      <w:pPr>
        <w:pStyle w:val="Nivel01"/>
        <w:numPr>
          <w:ilvl w:val="0"/>
          <w:numId w:val="0"/>
        </w:numPr>
        <w:ind w:left="360"/>
      </w:pPr>
      <w:r w:rsidRPr="0066274F">
        <w:t>Elemento: 3.3.90.3</w:t>
      </w:r>
      <w:r w:rsidR="0066274F" w:rsidRPr="0066274F">
        <w:t>9</w:t>
      </w:r>
      <w:r w:rsidRPr="0066274F">
        <w:t>.00.00.00</w:t>
      </w:r>
      <w:r w:rsidR="009556D2" w:rsidRPr="0066274F">
        <w:t xml:space="preserve"> </w:t>
      </w:r>
    </w:p>
    <w:p w14:paraId="55125618" w14:textId="35DEC9E7" w:rsidR="009556D2" w:rsidRPr="0066274F" w:rsidRDefault="009556D2" w:rsidP="009556D2">
      <w:pPr>
        <w:pStyle w:val="Nivel01"/>
        <w:numPr>
          <w:ilvl w:val="0"/>
          <w:numId w:val="0"/>
        </w:numPr>
        <w:ind w:left="360"/>
      </w:pPr>
      <w:r w:rsidRPr="0066274F">
        <w:t xml:space="preserve">Recurso: </w:t>
      </w:r>
      <w:r w:rsidR="0066274F" w:rsidRPr="0066274F">
        <w:t>4505</w:t>
      </w:r>
    </w:p>
    <w:p w14:paraId="54656DDC" w14:textId="24C1F346" w:rsidR="009556D2" w:rsidRPr="009556D2" w:rsidRDefault="00967E57" w:rsidP="009556D2">
      <w:pPr>
        <w:pStyle w:val="Nivel01"/>
        <w:numPr>
          <w:ilvl w:val="0"/>
          <w:numId w:val="0"/>
        </w:numPr>
        <w:ind w:left="360"/>
      </w:pPr>
      <w:r w:rsidRPr="0066274F">
        <w:t xml:space="preserve">Código Reduzido: </w:t>
      </w:r>
      <w:r w:rsidR="0066274F" w:rsidRPr="0066274F">
        <w:t>407</w:t>
      </w:r>
    </w:p>
    <w:p w14:paraId="15DA29FA" w14:textId="77777777" w:rsidR="003C7A23" w:rsidRPr="006E1990" w:rsidRDefault="003C7A23" w:rsidP="00A974BD">
      <w:pPr>
        <w:pStyle w:val="Nivel01"/>
      </w:pPr>
      <w:bookmarkStart w:id="47" w:name="_Toc135469233"/>
      <w:r>
        <w:t>DOS RECURSOS</w:t>
      </w:r>
      <w:bookmarkEnd w:id="47"/>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48" w:name="_Hlk135318381"/>
      <w:bookmarkStart w:id="49" w:name="_Hlk135315794"/>
      <w:r w:rsidRPr="00686387">
        <w:t>o prazo para a manifestação da intenção de recorrer não será inferior a 10 (dez) minutos.</w:t>
      </w:r>
      <w:bookmarkEnd w:id="48"/>
    </w:p>
    <w:bookmarkEnd w:id="49"/>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lastRenderedPageBreak/>
        <w:t xml:space="preserve">Os recursos interpostos fora do prazo não serão conhecidos. </w:t>
      </w:r>
    </w:p>
    <w:p w14:paraId="0AE7E747" w14:textId="77777777" w:rsidR="003C7A23" w:rsidRPr="00B9651D" w:rsidRDefault="003C7A23" w:rsidP="00B9651D">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bookmarkStart w:id="50" w:name="_Toc135469234"/>
      <w:r>
        <w:t>DAS INFRAÇÕES ADMINISTRATIVAS E SANÇÕES</w:t>
      </w:r>
      <w:bookmarkEnd w:id="50"/>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51" w:name="_Ref114668085"/>
      <w:bookmarkStart w:id="52" w:name="_Hlk114652595"/>
      <w:r w:rsidRPr="00447F3E">
        <w:t>deixar de entregar a documentação exigida para o certame ou não entregar qualquer documento que tenha sido solicitado pelo/a pregoeiro/a durante o certame;</w:t>
      </w:r>
      <w:bookmarkEnd w:id="51"/>
    </w:p>
    <w:p w14:paraId="6D9E96AB" w14:textId="77777777" w:rsidR="003C7A23" w:rsidRPr="00447F3E" w:rsidRDefault="003C7A23" w:rsidP="00447F3E">
      <w:pPr>
        <w:pStyle w:val="Nivel3"/>
      </w:pPr>
      <w:bookmarkStart w:id="53" w:name="_Ref114668108"/>
      <w:r w:rsidRPr="00447F3E">
        <w:t>Salvo em decorrência de fato superveniente devidamente justificado, não mantiver a proposta em especial quando:</w:t>
      </w:r>
      <w:bookmarkEnd w:id="53"/>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54" w:name="_Ref114668139"/>
      <w:r w:rsidRPr="006E1990">
        <w:t>não celebrar o contrato ou não entregar a documentação exigida para a contratação, quando convocado dentro do prazo de validade de sua proposta;</w:t>
      </w:r>
      <w:bookmarkEnd w:id="54"/>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55" w:name="_Ref114668249"/>
      <w:r w:rsidRPr="00447F3E">
        <w:t>apresentar declaração ou documentação falsa exigida para o certame ou prestar declaração falsa durante a licitação</w:t>
      </w:r>
      <w:bookmarkEnd w:id="55"/>
    </w:p>
    <w:p w14:paraId="301BADD7" w14:textId="77777777" w:rsidR="003C7A23" w:rsidRPr="00447F3E" w:rsidRDefault="003C7A23" w:rsidP="00447F3E">
      <w:pPr>
        <w:pStyle w:val="Nivel3"/>
      </w:pPr>
      <w:bookmarkStart w:id="56" w:name="_Ref114668245"/>
      <w:r w:rsidRPr="00447F3E">
        <w:t>fraudar a licitação</w:t>
      </w:r>
      <w:bookmarkEnd w:id="56"/>
    </w:p>
    <w:p w14:paraId="30E8E806" w14:textId="77777777" w:rsidR="003C7A23" w:rsidRPr="00447F3E" w:rsidRDefault="003C7A23" w:rsidP="00447F3E">
      <w:pPr>
        <w:pStyle w:val="Nivel3"/>
      </w:pPr>
      <w:bookmarkStart w:id="57" w:name="_Ref114668247"/>
      <w:r w:rsidRPr="00447F3E">
        <w:t>comportar-se de modo inidôneo ou cometer fraude de qualquer natureza, em especial quando:</w:t>
      </w:r>
      <w:bookmarkEnd w:id="57"/>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lastRenderedPageBreak/>
        <w:t xml:space="preserve">apresentar amostra falsificada ou deteriorada; </w:t>
      </w:r>
    </w:p>
    <w:p w14:paraId="49C86C9E" w14:textId="77777777" w:rsidR="003C7A23" w:rsidRPr="00447F3E" w:rsidRDefault="003C7A23" w:rsidP="00447F3E">
      <w:pPr>
        <w:pStyle w:val="Nivel3"/>
      </w:pPr>
      <w:bookmarkStart w:id="58" w:name="_Ref114668251"/>
      <w:r w:rsidRPr="00447F3E">
        <w:t>praticar atos ilícitos com vistas a frustrar os objetivos da licitação</w:t>
      </w:r>
      <w:bookmarkEnd w:id="58"/>
    </w:p>
    <w:p w14:paraId="28FBD17A" w14:textId="6BA949DB" w:rsidR="003C7A23" w:rsidRPr="00447F3E" w:rsidRDefault="003C7A23" w:rsidP="00447F3E">
      <w:pPr>
        <w:pStyle w:val="Nivel3"/>
      </w:pPr>
      <w:bookmarkStart w:id="59"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59"/>
    </w:p>
    <w:bookmarkEnd w:id="52"/>
    <w:p w14:paraId="5F9FF442" w14:textId="588346A6" w:rsidR="003C7A23" w:rsidRPr="006E1990" w:rsidRDefault="003C7A23" w:rsidP="00447F3E">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20069015" w:rsidR="003C7A23" w:rsidRPr="00686387" w:rsidRDefault="003C7A23" w:rsidP="00447F3E">
      <w:pPr>
        <w:pStyle w:val="Nivel3"/>
        <w:rPr>
          <w:color w:val="auto"/>
        </w:rPr>
      </w:pPr>
      <w:bookmarkStart w:id="60"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639DA" w:rsidRPr="00686387">
        <w:rPr>
          <w:color w:val="auto"/>
        </w:rPr>
        <w:t>12.1.1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639DA" w:rsidRPr="00686387">
        <w:rPr>
          <w:color w:val="auto"/>
        </w:rPr>
        <w:t>12.1.2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639DA" w:rsidRPr="00686387">
        <w:rPr>
          <w:color w:val="auto"/>
        </w:rPr>
        <w:t>12.1.3</w:t>
      </w:r>
      <w:r w:rsidRPr="00686387">
        <w:rPr>
          <w:color w:val="auto"/>
        </w:rPr>
        <w:fldChar w:fldCharType="end"/>
      </w:r>
      <w:r w:rsidRPr="00686387">
        <w:rPr>
          <w:color w:val="auto"/>
        </w:rPr>
        <w:t>, a multa será de 0,5% a 15% do valor do contrato licitado.</w:t>
      </w:r>
    </w:p>
    <w:bookmarkEnd w:id="60"/>
    <w:p w14:paraId="14BCBB28" w14:textId="7D3B7DDD"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639DA" w:rsidRPr="00686387">
        <w:rPr>
          <w:color w:val="auto"/>
        </w:rPr>
        <w:t>12.1.4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639DA" w:rsidRPr="00686387">
        <w:rPr>
          <w:color w:val="auto"/>
        </w:rPr>
        <w:t>12.1.5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639DA" w:rsidRPr="00686387">
        <w:rPr>
          <w:color w:val="auto"/>
        </w:rPr>
        <w:t>12.1.6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639DA" w:rsidRPr="00686387">
        <w:rPr>
          <w:color w:val="auto"/>
        </w:rPr>
        <w:t>12.1.7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639DA" w:rsidRPr="00686387">
        <w:rPr>
          <w:color w:val="auto"/>
        </w:rPr>
        <w:t>12.1.8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73A9123E"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710E2E29" w:rsidR="003C7A23" w:rsidRPr="00447F3E" w:rsidRDefault="003C7A23" w:rsidP="00447F3E">
      <w:pPr>
        <w:pStyle w:val="Nivel2"/>
      </w:pPr>
      <w:r w:rsidRPr="00447F3E">
        <w:lastRenderedPageBreak/>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639DA">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639DA">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639DA">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639DA">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639DA">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3BF44BC9"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bookmarkStart w:id="61" w:name="_Toc135469235"/>
      <w:r>
        <w:t>DA IMPUGNAÇÃO AO EDITAL E DO PEDIDO DE ESCLARECIMENTO</w:t>
      </w:r>
      <w:bookmarkEnd w:id="61"/>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321C0EE2" w:rsidR="003C7A23" w:rsidRPr="00EC566E" w:rsidRDefault="003C7A23" w:rsidP="00447F3E">
      <w:pPr>
        <w:pStyle w:val="Nivel2"/>
        <w:rPr>
          <w:color w:val="auto"/>
          <w:u w:val="single"/>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w:t>
      </w:r>
      <w:r w:rsidR="00EC566E">
        <w:rPr>
          <w:color w:val="auto"/>
        </w:rPr>
        <w:t xml:space="preserve"> </w:t>
      </w:r>
      <w:r w:rsidR="00EC566E" w:rsidRPr="00EC566E">
        <w:rPr>
          <w:color w:val="auto"/>
          <w:u w:val="single"/>
        </w:rPr>
        <w:t>thaispmar.compras@gmail.com.</w:t>
      </w:r>
    </w:p>
    <w:p w14:paraId="2B348ABF" w14:textId="77777777" w:rsidR="003C7A23" w:rsidRPr="006E1990" w:rsidRDefault="003C7A23" w:rsidP="00447F3E">
      <w:pPr>
        <w:pStyle w:val="Nivel2"/>
      </w:pPr>
      <w:r w:rsidRPr="006E1990">
        <w:lastRenderedPageBreak/>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bookmarkStart w:id="62" w:name="_Toc135469236"/>
      <w:r>
        <w:t xml:space="preserve">DAS </w:t>
      </w:r>
      <w:r w:rsidRPr="00447F3E">
        <w:t>DISPOSIÇÕES</w:t>
      </w:r>
      <w:r>
        <w:t xml:space="preserve"> GERAIS</w:t>
      </w:r>
      <w:bookmarkEnd w:id="62"/>
    </w:p>
    <w:p w14:paraId="4A53963B" w14:textId="77777777" w:rsidR="003C7A23" w:rsidRPr="00447F3E" w:rsidRDefault="003C7A23" w:rsidP="00447F3E">
      <w:pPr>
        <w:pStyle w:val="Nivel2"/>
      </w:pPr>
      <w:bookmarkStart w:id="63"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6000A300"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E4367D">
        <w:rPr>
          <w:rFonts w:ascii="Arial" w:eastAsia="MS Mincho" w:hAnsi="Arial" w:cs="Arial"/>
          <w:color w:val="000000"/>
          <w:sz w:val="20"/>
          <w:szCs w:val="20"/>
        </w:rPr>
        <w:t xml:space="preserve">10 </w:t>
      </w:r>
      <w:r w:rsidR="003C7A23" w:rsidRPr="006E1990">
        <w:rPr>
          <w:rFonts w:ascii="Arial" w:eastAsia="MS Mincho" w:hAnsi="Arial" w:cs="Arial"/>
          <w:color w:val="000000"/>
          <w:sz w:val="20"/>
          <w:szCs w:val="20"/>
        </w:rPr>
        <w:t xml:space="preserve">de </w:t>
      </w:r>
      <w:r w:rsidR="00EC566E">
        <w:rPr>
          <w:rFonts w:ascii="Arial" w:eastAsia="MS Mincho" w:hAnsi="Arial" w:cs="Arial"/>
          <w:color w:val="000000"/>
          <w:sz w:val="20"/>
          <w:szCs w:val="20"/>
        </w:rPr>
        <w:t>abril</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5543B467"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lastRenderedPageBreak/>
        <w:t>PREFEITO MUNICIPAL</w:t>
      </w: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1F5D9065"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w:t>
      </w:r>
      <w:r w:rsidR="005735F4">
        <w:rPr>
          <w:rFonts w:ascii="Arial" w:eastAsia="MS Mincho" w:hAnsi="Arial" w:cs="Arial"/>
          <w:color w:val="000000"/>
          <w:sz w:val="20"/>
          <w:szCs w:val="20"/>
        </w:rPr>
        <w:t xml:space="preserve">de </w:t>
      </w:r>
      <w:r w:rsidR="0066274F">
        <w:rPr>
          <w:rFonts w:ascii="Arial" w:eastAsia="MS Mincho" w:hAnsi="Arial" w:cs="Arial"/>
          <w:color w:val="000000"/>
          <w:sz w:val="20"/>
          <w:szCs w:val="20"/>
        </w:rPr>
        <w:t>APARELHO DE ULTRASSOM</w:t>
      </w:r>
      <w:r w:rsidR="00EC566E" w:rsidRPr="00EC566E">
        <w:rPr>
          <w:rFonts w:ascii="Arial" w:eastAsia="MS Mincho" w:hAnsi="Arial" w:cs="Arial"/>
          <w:color w:val="000000"/>
          <w:sz w:val="20"/>
          <w:szCs w:val="20"/>
        </w:rPr>
        <w:t>.</w:t>
      </w:r>
      <w:r w:rsidR="005735F4">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para </w:t>
      </w:r>
      <w:r w:rsidR="005735F4">
        <w:rPr>
          <w:rFonts w:ascii="Arial" w:eastAsia="MS Mincho" w:hAnsi="Arial" w:cs="Arial"/>
          <w:color w:val="000000"/>
          <w:sz w:val="20"/>
          <w:szCs w:val="20"/>
        </w:rPr>
        <w:t>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tbl>
      <w:tblPr>
        <w:tblW w:w="9320" w:type="dxa"/>
        <w:tblCellMar>
          <w:left w:w="70" w:type="dxa"/>
          <w:right w:w="70" w:type="dxa"/>
        </w:tblCellMar>
        <w:tblLook w:val="04A0" w:firstRow="1" w:lastRow="0" w:firstColumn="1" w:lastColumn="0" w:noHBand="0" w:noVBand="1"/>
      </w:tblPr>
      <w:tblGrid>
        <w:gridCol w:w="900"/>
        <w:gridCol w:w="5060"/>
        <w:gridCol w:w="580"/>
        <w:gridCol w:w="523"/>
        <w:gridCol w:w="941"/>
        <w:gridCol w:w="1460"/>
      </w:tblGrid>
      <w:tr w:rsidR="00482152" w:rsidRPr="00482152" w14:paraId="4D17D42D" w14:textId="77777777" w:rsidTr="00482152">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63"/>
          <w:p w14:paraId="371216EC" w14:textId="77777777" w:rsidR="00482152" w:rsidRPr="00482152" w:rsidRDefault="00482152" w:rsidP="00482152">
            <w:pPr>
              <w:jc w:val="cente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ITEM</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4C0623E4"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DESCRIÇÃO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29BB899"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UNID.</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4B058618"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QTD.</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DF62F9F"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MEDIANA</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88DA5A0"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TOTAL MEDIANA</w:t>
            </w:r>
          </w:p>
        </w:tc>
      </w:tr>
      <w:tr w:rsidR="00482152" w:rsidRPr="00482152" w14:paraId="6F2681D6" w14:textId="77777777" w:rsidTr="00401264">
        <w:trPr>
          <w:trHeight w:val="22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6338F27"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w:t>
            </w:r>
          </w:p>
        </w:tc>
        <w:tc>
          <w:tcPr>
            <w:tcW w:w="5060" w:type="dxa"/>
            <w:tcBorders>
              <w:top w:val="nil"/>
              <w:left w:val="nil"/>
              <w:bottom w:val="single" w:sz="4" w:space="0" w:color="auto"/>
              <w:right w:val="single" w:sz="4" w:space="0" w:color="auto"/>
            </w:tcBorders>
            <w:shd w:val="clear" w:color="auto" w:fill="auto"/>
            <w:noWrap/>
            <w:vAlign w:val="bottom"/>
          </w:tcPr>
          <w:p w14:paraId="42F60FC1" w14:textId="77777777" w:rsidR="00401264" w:rsidRDefault="00401264" w:rsidP="00482152">
            <w:pPr>
              <w:rPr>
                <w:rFonts w:ascii="Arial" w:eastAsia="Times New Roman" w:hAnsi="Arial" w:cs="Arial"/>
                <w:color w:val="000000"/>
                <w:sz w:val="16"/>
                <w:szCs w:val="16"/>
              </w:rPr>
            </w:pPr>
            <w:r>
              <w:rPr>
                <w:rFonts w:ascii="Arial" w:eastAsia="Times New Roman" w:hAnsi="Arial" w:cs="Arial"/>
                <w:color w:val="000000"/>
                <w:sz w:val="16"/>
                <w:szCs w:val="16"/>
              </w:rPr>
              <w:t>Equipamento de Ultrassonografia Eletrônico, com plataforma digital de alta resolução destinado a aplicações de diagnóstico por imagem, capaz de realizar os seguintes exames:</w:t>
            </w:r>
            <w:r>
              <w:rPr>
                <w:rFonts w:ascii="Arial" w:eastAsia="Times New Roman" w:hAnsi="Arial" w:cs="Arial"/>
                <w:color w:val="000000"/>
                <w:sz w:val="16"/>
                <w:szCs w:val="16"/>
              </w:rPr>
              <w:br/>
              <w:t>a) Imagem Geral (</w:t>
            </w:r>
            <w:proofErr w:type="spellStart"/>
            <w:r>
              <w:rPr>
                <w:rFonts w:ascii="Arial" w:eastAsia="Times New Roman" w:hAnsi="Arial" w:cs="Arial"/>
                <w:color w:val="000000"/>
                <w:sz w:val="16"/>
                <w:szCs w:val="16"/>
              </w:rPr>
              <w:t>adulto</w:t>
            </w:r>
            <w:proofErr w:type="spellEnd"/>
            <w:r>
              <w:rPr>
                <w:rFonts w:ascii="Arial" w:eastAsia="Times New Roman" w:hAnsi="Arial" w:cs="Arial"/>
                <w:color w:val="000000"/>
                <w:sz w:val="16"/>
                <w:szCs w:val="16"/>
              </w:rPr>
              <w:t xml:space="preserve"> e pediátrico);</w:t>
            </w:r>
          </w:p>
          <w:p w14:paraId="47ACC63C" w14:textId="77777777" w:rsidR="00401264" w:rsidRDefault="00401264" w:rsidP="00482152">
            <w:pPr>
              <w:rPr>
                <w:rFonts w:ascii="Arial" w:eastAsia="Times New Roman" w:hAnsi="Arial" w:cs="Arial"/>
                <w:color w:val="000000"/>
                <w:sz w:val="16"/>
                <w:szCs w:val="16"/>
              </w:rPr>
            </w:pPr>
            <w:r>
              <w:rPr>
                <w:rFonts w:ascii="Arial" w:eastAsia="Times New Roman" w:hAnsi="Arial" w:cs="Arial"/>
                <w:color w:val="000000"/>
                <w:sz w:val="16"/>
                <w:szCs w:val="16"/>
              </w:rPr>
              <w:t>b) Imagens Abdominais: Fígado, rins, pâncreas, baço, vesícula biliar e dutos biliares. Protocolo FAST, E-FAST;</w:t>
            </w:r>
          </w:p>
          <w:p w14:paraId="4AE8D218" w14:textId="77777777" w:rsidR="00401264" w:rsidRDefault="00401264" w:rsidP="00482152">
            <w:pPr>
              <w:rPr>
                <w:rFonts w:ascii="Arial" w:eastAsia="Times New Roman" w:hAnsi="Arial" w:cs="Arial"/>
                <w:color w:val="000000"/>
                <w:sz w:val="16"/>
                <w:szCs w:val="16"/>
              </w:rPr>
            </w:pPr>
            <w:r>
              <w:rPr>
                <w:rFonts w:ascii="Arial" w:eastAsia="Times New Roman" w:hAnsi="Arial" w:cs="Arial"/>
                <w:color w:val="000000"/>
                <w:sz w:val="16"/>
                <w:szCs w:val="16"/>
              </w:rPr>
              <w:t>c) Imagens de pequenas partes e superficiais: Mama, tireoide, próstata, testículos, gânglios linfáticos, hérnias e estruturas musculoesqueléticas;</w:t>
            </w:r>
          </w:p>
          <w:p w14:paraId="6AB1B173" w14:textId="77777777" w:rsidR="00502872" w:rsidRDefault="00401264" w:rsidP="00482152">
            <w:pPr>
              <w:rPr>
                <w:rFonts w:ascii="Arial" w:eastAsia="Times New Roman" w:hAnsi="Arial" w:cs="Arial"/>
                <w:color w:val="000000"/>
                <w:sz w:val="16"/>
                <w:szCs w:val="16"/>
              </w:rPr>
            </w:pPr>
            <w:r>
              <w:rPr>
                <w:rFonts w:ascii="Arial" w:eastAsia="Times New Roman" w:hAnsi="Arial" w:cs="Arial"/>
                <w:color w:val="000000"/>
                <w:sz w:val="16"/>
                <w:szCs w:val="16"/>
              </w:rPr>
              <w:t>d) Imagens Ginecológicas e obstétricas (em 2D):</w:t>
            </w:r>
            <w:r w:rsidR="002C3E66">
              <w:rPr>
                <w:rFonts w:ascii="Arial" w:eastAsia="Times New Roman" w:hAnsi="Arial" w:cs="Arial"/>
                <w:color w:val="000000"/>
                <w:sz w:val="16"/>
                <w:szCs w:val="16"/>
              </w:rPr>
              <w:t xml:space="preserve"> Transvaginal do </w:t>
            </w:r>
            <w:r w:rsidR="00502872">
              <w:rPr>
                <w:rFonts w:ascii="Arial" w:eastAsia="Times New Roman" w:hAnsi="Arial" w:cs="Arial"/>
                <w:color w:val="000000"/>
                <w:sz w:val="16"/>
                <w:szCs w:val="16"/>
              </w:rPr>
              <w:t>útero e dos ovários, anatomia fetal, peso fetal estimado, idade gestacional e fluido amniótico;</w:t>
            </w:r>
          </w:p>
          <w:p w14:paraId="2C2318B5" w14:textId="77777777" w:rsidR="00502872" w:rsidRDefault="00502872" w:rsidP="00482152">
            <w:pPr>
              <w:rPr>
                <w:rFonts w:ascii="Arial" w:eastAsia="Times New Roman" w:hAnsi="Arial" w:cs="Arial"/>
                <w:color w:val="000000"/>
                <w:sz w:val="16"/>
                <w:szCs w:val="16"/>
              </w:rPr>
            </w:pPr>
            <w:r>
              <w:rPr>
                <w:rFonts w:ascii="Arial" w:eastAsia="Times New Roman" w:hAnsi="Arial" w:cs="Arial"/>
                <w:color w:val="000000"/>
                <w:sz w:val="16"/>
                <w:szCs w:val="16"/>
              </w:rPr>
              <w:t>e) imagens vasculares (com Doppler colorido): vasos abdominais, periféricos (venoso superficial e profundo), arterial profundo e protocolo para análise de carótidas;</w:t>
            </w:r>
          </w:p>
          <w:p w14:paraId="1A422DD6" w14:textId="77777777" w:rsidR="00401264" w:rsidRDefault="00502872" w:rsidP="00482152">
            <w:pPr>
              <w:rPr>
                <w:rFonts w:ascii="Arial" w:eastAsia="Times New Roman" w:hAnsi="Arial" w:cs="Arial"/>
                <w:color w:val="000000"/>
                <w:sz w:val="16"/>
                <w:szCs w:val="16"/>
              </w:rPr>
            </w:pPr>
            <w:r>
              <w:rPr>
                <w:rFonts w:ascii="Arial" w:eastAsia="Times New Roman" w:hAnsi="Arial" w:cs="Arial"/>
                <w:color w:val="000000"/>
                <w:sz w:val="16"/>
                <w:szCs w:val="16"/>
              </w:rPr>
              <w:t>f) Imagens e Procedimentos intervencionais: Biópsias, acesso vascular guiado, bloqueios anestésicos, anestesias periféricas e de coluna e punções com possibilidade de uso de software de visualização</w:t>
            </w:r>
            <w:r w:rsidR="00D300F2">
              <w:rPr>
                <w:rFonts w:ascii="Arial" w:eastAsia="Times New Roman" w:hAnsi="Arial" w:cs="Arial"/>
                <w:color w:val="000000"/>
                <w:sz w:val="16"/>
                <w:szCs w:val="16"/>
              </w:rPr>
              <w:t xml:space="preserve"> nos modos B (brilho); Modo M Anatômico, Modo M (Movimento); Doppler Pulsado; Doppler Contínuo, Doppler colorido; Power Doppler; </w:t>
            </w:r>
            <w:proofErr w:type="spellStart"/>
            <w:r w:rsidR="00D300F2">
              <w:rPr>
                <w:rFonts w:ascii="Arial" w:eastAsia="Times New Roman" w:hAnsi="Arial" w:cs="Arial"/>
                <w:color w:val="000000"/>
                <w:sz w:val="16"/>
                <w:szCs w:val="16"/>
              </w:rPr>
              <w:t>Tissue</w:t>
            </w:r>
            <w:proofErr w:type="spellEnd"/>
            <w:r w:rsidR="00D300F2">
              <w:rPr>
                <w:rFonts w:ascii="Arial" w:eastAsia="Times New Roman" w:hAnsi="Arial" w:cs="Arial"/>
                <w:color w:val="000000"/>
                <w:sz w:val="16"/>
                <w:szCs w:val="16"/>
              </w:rPr>
              <w:t xml:space="preserve"> Doppler </w:t>
            </w:r>
            <w:proofErr w:type="spellStart"/>
            <w:r w:rsidR="00D300F2">
              <w:rPr>
                <w:rFonts w:ascii="Arial" w:eastAsia="Times New Roman" w:hAnsi="Arial" w:cs="Arial"/>
                <w:color w:val="000000"/>
                <w:sz w:val="16"/>
                <w:szCs w:val="16"/>
              </w:rPr>
              <w:t>Imaging</w:t>
            </w:r>
            <w:proofErr w:type="spellEnd"/>
            <w:r w:rsidR="00D300F2">
              <w:rPr>
                <w:rFonts w:ascii="Arial" w:eastAsia="Times New Roman" w:hAnsi="Arial" w:cs="Arial"/>
                <w:color w:val="000000"/>
                <w:sz w:val="16"/>
                <w:szCs w:val="16"/>
              </w:rPr>
              <w:t xml:space="preserve"> (TDI) colorido e espectral. </w:t>
            </w:r>
            <w:proofErr w:type="spellStart"/>
            <w:r w:rsidR="00D300F2">
              <w:rPr>
                <w:rFonts w:ascii="Arial" w:eastAsia="Times New Roman" w:hAnsi="Arial" w:cs="Arial"/>
                <w:color w:val="000000"/>
                <w:sz w:val="16"/>
                <w:szCs w:val="16"/>
              </w:rPr>
              <w:t>Cineloop</w:t>
            </w:r>
            <w:proofErr w:type="spellEnd"/>
            <w:r w:rsidR="00D300F2">
              <w:rPr>
                <w:rFonts w:ascii="Arial" w:eastAsia="Times New Roman" w:hAnsi="Arial" w:cs="Arial"/>
                <w:color w:val="000000"/>
                <w:sz w:val="16"/>
                <w:szCs w:val="16"/>
              </w:rPr>
              <w:t xml:space="preserve">, com mais de 3.000 quadros ou acima de 300Mb. Duplex; Imagem harmônica tecidual; 2D (com 256 níveis de cinza); 2D com software que permite a visualização de agulhas. Software de reconstrução 3D. Acompanha Kit de radiologia para exames de </w:t>
            </w:r>
            <w:proofErr w:type="spellStart"/>
            <w:r w:rsidR="00D300F2">
              <w:rPr>
                <w:rFonts w:ascii="Arial" w:eastAsia="Times New Roman" w:hAnsi="Arial" w:cs="Arial"/>
                <w:color w:val="000000"/>
                <w:sz w:val="16"/>
                <w:szCs w:val="16"/>
              </w:rPr>
              <w:t>elastografia</w:t>
            </w:r>
            <w:proofErr w:type="spellEnd"/>
            <w:r w:rsidR="00D300F2">
              <w:rPr>
                <w:rFonts w:ascii="Arial" w:eastAsia="Times New Roman" w:hAnsi="Arial" w:cs="Arial"/>
                <w:color w:val="000000"/>
                <w:sz w:val="16"/>
                <w:szCs w:val="16"/>
              </w:rPr>
              <w:t xml:space="preserve">: mama, </w:t>
            </w:r>
            <w:proofErr w:type="spellStart"/>
            <w:r w:rsidR="00D300F2">
              <w:rPr>
                <w:rFonts w:ascii="Arial" w:eastAsia="Times New Roman" w:hAnsi="Arial" w:cs="Arial"/>
                <w:color w:val="000000"/>
                <w:sz w:val="16"/>
                <w:szCs w:val="16"/>
              </w:rPr>
              <w:t>msk</w:t>
            </w:r>
            <w:proofErr w:type="spellEnd"/>
            <w:r w:rsidR="00D300F2">
              <w:rPr>
                <w:rFonts w:ascii="Arial" w:eastAsia="Times New Roman" w:hAnsi="Arial" w:cs="Arial"/>
                <w:color w:val="000000"/>
                <w:sz w:val="16"/>
                <w:szCs w:val="16"/>
              </w:rPr>
              <w:t xml:space="preserve">, </w:t>
            </w:r>
            <w:r w:rsidR="00371A6B">
              <w:rPr>
                <w:rFonts w:ascii="Arial" w:eastAsia="Times New Roman" w:hAnsi="Arial" w:cs="Arial"/>
                <w:color w:val="000000"/>
                <w:sz w:val="16"/>
                <w:szCs w:val="16"/>
              </w:rPr>
              <w:t xml:space="preserve">tireoide. Possibilidade futura de aquisição de software e hardware 4D, com transdutor convexo volumétrico e </w:t>
            </w:r>
            <w:proofErr w:type="spellStart"/>
            <w:r w:rsidR="00371A6B">
              <w:rPr>
                <w:rFonts w:ascii="Arial" w:eastAsia="Times New Roman" w:hAnsi="Arial" w:cs="Arial"/>
                <w:color w:val="000000"/>
                <w:sz w:val="16"/>
                <w:szCs w:val="16"/>
              </w:rPr>
              <w:t>endocavitário</w:t>
            </w:r>
            <w:proofErr w:type="spellEnd"/>
            <w:r w:rsidR="00371A6B">
              <w:rPr>
                <w:rFonts w:ascii="Arial" w:eastAsia="Times New Roman" w:hAnsi="Arial" w:cs="Arial"/>
                <w:color w:val="000000"/>
                <w:sz w:val="16"/>
                <w:szCs w:val="16"/>
              </w:rPr>
              <w:t xml:space="preserve">. Possibilidade futura de aquisição de </w:t>
            </w:r>
            <w:r w:rsidR="00361F1C">
              <w:rPr>
                <w:rFonts w:ascii="Arial" w:eastAsia="Times New Roman" w:hAnsi="Arial" w:cs="Arial"/>
                <w:color w:val="000000"/>
                <w:sz w:val="16"/>
                <w:szCs w:val="16"/>
              </w:rPr>
              <w:t>software</w:t>
            </w:r>
            <w:r w:rsidR="00E77B25">
              <w:rPr>
                <w:rFonts w:ascii="Arial" w:eastAsia="Times New Roman" w:hAnsi="Arial" w:cs="Arial"/>
                <w:color w:val="000000"/>
                <w:sz w:val="16"/>
                <w:szCs w:val="16"/>
              </w:rPr>
              <w:t xml:space="preserve"> com kit para biópsia (metálico reutilizável). Software para área cardiológica oferecendo disponibilidade para exames: AMM, TVI, CWD. Possibilidade futura de adquirir o software de </w:t>
            </w:r>
            <w:proofErr w:type="spellStart"/>
            <w:r w:rsidR="00E77B25">
              <w:rPr>
                <w:rFonts w:ascii="Arial" w:eastAsia="Times New Roman" w:hAnsi="Arial" w:cs="Arial"/>
                <w:color w:val="000000"/>
                <w:sz w:val="16"/>
                <w:szCs w:val="16"/>
              </w:rPr>
              <w:t>Ecostress</w:t>
            </w:r>
            <w:proofErr w:type="spellEnd"/>
            <w:r w:rsidR="00E77B25">
              <w:rPr>
                <w:rFonts w:ascii="Arial" w:eastAsia="Times New Roman" w:hAnsi="Arial" w:cs="Arial"/>
                <w:color w:val="000000"/>
                <w:sz w:val="16"/>
                <w:szCs w:val="16"/>
              </w:rPr>
              <w:t xml:space="preserve"> e Auto EF (cálculo automático da fração de ejeção). Possibilidade futura de adquirir o módulo Ecocardiografia – AHA dispõe de software que permita realizar zoom, com ajuste de ganho e profundidade, cálculos e páginas de resultados completos para exames obstétricos e vasculares, procedimentos de análise vascular; dispõe de software para medida automática da íntima dos vasos; Dispor de taxa de quadros (FRAME RATE) acima de 1789 quadros/segundo; Profundidade de penetração de pelo menos 33cm; possuir pelo menos 301.000 canais de processamento. Possui medidas automáticas da bexiga. Possui aquecedor de GEL</w:t>
            </w:r>
            <w:r w:rsidR="000417C9">
              <w:rPr>
                <w:rFonts w:ascii="Arial" w:eastAsia="Times New Roman" w:hAnsi="Arial" w:cs="Arial"/>
                <w:color w:val="000000"/>
                <w:sz w:val="16"/>
                <w:szCs w:val="16"/>
              </w:rPr>
              <w:t xml:space="preserve"> integrado no </w:t>
            </w:r>
            <w:r w:rsidR="000417C9">
              <w:rPr>
                <w:rFonts w:ascii="Arial" w:eastAsia="Times New Roman" w:hAnsi="Arial" w:cs="Arial"/>
                <w:color w:val="000000"/>
                <w:sz w:val="16"/>
                <w:szCs w:val="16"/>
              </w:rPr>
              <w:lastRenderedPageBreak/>
              <w:t xml:space="preserve">equipamento. Acesso ao dispositivo extra do Ultrassom Club com atualizações; Console de Comando com rodízios independentes, com travas para giro e rolamento, gravador de CD/DVD embutido (de fábrica), regulagem de altura de console de comandos e suporte para os transdutores; teclado alfanumérico; Manuseio do cursor por track </w:t>
            </w:r>
            <w:proofErr w:type="spellStart"/>
            <w:r w:rsidR="000417C9">
              <w:rPr>
                <w:rFonts w:ascii="Arial" w:eastAsia="Times New Roman" w:hAnsi="Arial" w:cs="Arial"/>
                <w:color w:val="000000"/>
                <w:sz w:val="16"/>
                <w:szCs w:val="16"/>
              </w:rPr>
              <w:t>ball</w:t>
            </w:r>
            <w:proofErr w:type="spellEnd"/>
            <w:r w:rsidR="000417C9">
              <w:rPr>
                <w:rFonts w:ascii="Arial" w:eastAsia="Times New Roman" w:hAnsi="Arial" w:cs="Arial"/>
                <w:color w:val="000000"/>
                <w:sz w:val="16"/>
                <w:szCs w:val="16"/>
              </w:rPr>
              <w:t xml:space="preserve">. Possibilita utilização de teclas programáveis para funções avançadas definidas pelo usuário. Ajustes automáticos para curva de ganho (TGC) com no mínimo 8 potenciômetros. Monitor em tela colorida, única e plana de LED, com pelo menos 21”, com braço para ajuste de angulação e altura, definição de 1920 x 1080, com 256 tons de cinza; </w:t>
            </w:r>
            <w:proofErr w:type="gramStart"/>
            <w:r w:rsidR="000417C9">
              <w:rPr>
                <w:rFonts w:ascii="Arial" w:eastAsia="Times New Roman" w:hAnsi="Arial" w:cs="Arial"/>
                <w:color w:val="000000"/>
                <w:sz w:val="16"/>
                <w:szCs w:val="16"/>
              </w:rPr>
              <w:t>Possui</w:t>
            </w:r>
            <w:proofErr w:type="gramEnd"/>
            <w:r w:rsidR="000417C9">
              <w:rPr>
                <w:rFonts w:ascii="Arial" w:eastAsia="Times New Roman" w:hAnsi="Arial" w:cs="Arial"/>
                <w:color w:val="000000"/>
                <w:sz w:val="16"/>
                <w:szCs w:val="16"/>
              </w:rPr>
              <w:t xml:space="preserve"> tela de toque do tipo “</w:t>
            </w:r>
            <w:proofErr w:type="spellStart"/>
            <w:r w:rsidR="000417C9">
              <w:rPr>
                <w:rFonts w:ascii="Arial" w:eastAsia="Times New Roman" w:hAnsi="Arial" w:cs="Arial"/>
                <w:color w:val="000000"/>
                <w:sz w:val="16"/>
                <w:szCs w:val="16"/>
              </w:rPr>
              <w:t>touch</w:t>
            </w:r>
            <w:proofErr w:type="spellEnd"/>
            <w:r w:rsidR="000417C9">
              <w:rPr>
                <w:rFonts w:ascii="Arial" w:eastAsia="Times New Roman" w:hAnsi="Arial" w:cs="Arial"/>
                <w:color w:val="000000"/>
                <w:sz w:val="16"/>
                <w:szCs w:val="16"/>
              </w:rPr>
              <w:t xml:space="preserve"> </w:t>
            </w:r>
            <w:proofErr w:type="spellStart"/>
            <w:r w:rsidR="000417C9">
              <w:rPr>
                <w:rFonts w:ascii="Arial" w:eastAsia="Times New Roman" w:hAnsi="Arial" w:cs="Arial"/>
                <w:color w:val="000000"/>
                <w:sz w:val="16"/>
                <w:szCs w:val="16"/>
              </w:rPr>
              <w:t>screen</w:t>
            </w:r>
            <w:proofErr w:type="spellEnd"/>
            <w:r w:rsidR="000417C9">
              <w:rPr>
                <w:rFonts w:ascii="Arial" w:eastAsia="Times New Roman" w:hAnsi="Arial" w:cs="Arial"/>
                <w:color w:val="000000"/>
                <w:sz w:val="16"/>
                <w:szCs w:val="16"/>
              </w:rPr>
              <w:t xml:space="preserve">”, acima de 12 polegadas. Capacidade de armazenamento interno igual a 500GB em disco rígido. Realiza aquisição, armazenamento, revisão e transferência digital de imagens; </w:t>
            </w:r>
            <w:proofErr w:type="gramStart"/>
            <w:r w:rsidR="000417C9">
              <w:rPr>
                <w:rFonts w:ascii="Arial" w:eastAsia="Times New Roman" w:hAnsi="Arial" w:cs="Arial"/>
                <w:color w:val="000000"/>
                <w:sz w:val="16"/>
                <w:szCs w:val="16"/>
              </w:rPr>
              <w:t>Permite</w:t>
            </w:r>
            <w:proofErr w:type="gramEnd"/>
            <w:r w:rsidR="000417C9">
              <w:rPr>
                <w:rFonts w:ascii="Arial" w:eastAsia="Times New Roman" w:hAnsi="Arial" w:cs="Arial"/>
                <w:color w:val="000000"/>
                <w:sz w:val="16"/>
                <w:szCs w:val="16"/>
              </w:rPr>
              <w:t xml:space="preserve"> aquisição estática (fotos)</w:t>
            </w:r>
            <w:r w:rsidR="005638D1">
              <w:rPr>
                <w:rFonts w:ascii="Arial" w:eastAsia="Times New Roman" w:hAnsi="Arial" w:cs="Arial"/>
                <w:color w:val="000000"/>
                <w:sz w:val="16"/>
                <w:szCs w:val="16"/>
              </w:rPr>
              <w:t xml:space="preserve"> e dinâmica (clipes de 60 segundos ou mais) de imagens;</w:t>
            </w:r>
          </w:p>
          <w:p w14:paraId="5D598777" w14:textId="77777777" w:rsidR="005638D1" w:rsidRDefault="005638D1" w:rsidP="00482152">
            <w:pPr>
              <w:rPr>
                <w:rFonts w:ascii="Arial" w:eastAsia="Times New Roman" w:hAnsi="Arial" w:cs="Arial"/>
                <w:color w:val="000000"/>
                <w:sz w:val="16"/>
                <w:szCs w:val="16"/>
              </w:rPr>
            </w:pPr>
            <w:r>
              <w:rPr>
                <w:rFonts w:ascii="Arial" w:eastAsia="Times New Roman" w:hAnsi="Arial" w:cs="Arial"/>
                <w:color w:val="000000"/>
                <w:sz w:val="16"/>
                <w:szCs w:val="16"/>
              </w:rPr>
              <w:t>conectividade:</w:t>
            </w:r>
          </w:p>
          <w:p w14:paraId="578ED251" w14:textId="77777777" w:rsidR="005638D1" w:rsidRDefault="005638D1" w:rsidP="005638D1">
            <w:pPr>
              <w:pStyle w:val="PargrafodaLista"/>
              <w:numPr>
                <w:ilvl w:val="0"/>
                <w:numId w:val="14"/>
              </w:numPr>
              <w:rPr>
                <w:rFonts w:ascii="Arial" w:eastAsia="Times New Roman" w:hAnsi="Arial" w:cs="Arial"/>
                <w:color w:val="000000"/>
                <w:sz w:val="16"/>
                <w:szCs w:val="16"/>
              </w:rPr>
            </w:pPr>
            <w:r>
              <w:rPr>
                <w:rFonts w:ascii="Arial" w:eastAsia="Times New Roman" w:hAnsi="Arial" w:cs="Arial"/>
                <w:color w:val="000000"/>
                <w:sz w:val="16"/>
                <w:szCs w:val="16"/>
              </w:rPr>
              <w:t>Interface de Rede Ethernet (</w:t>
            </w:r>
            <w:proofErr w:type="spellStart"/>
            <w:r>
              <w:rPr>
                <w:rFonts w:ascii="Arial" w:eastAsia="Times New Roman" w:hAnsi="Arial" w:cs="Arial"/>
                <w:color w:val="000000"/>
                <w:sz w:val="16"/>
                <w:szCs w:val="16"/>
              </w:rPr>
              <w:t>Fast</w:t>
            </w:r>
            <w:proofErr w:type="spellEnd"/>
            <w:r>
              <w:rPr>
                <w:rFonts w:ascii="Arial" w:eastAsia="Times New Roman" w:hAnsi="Arial" w:cs="Arial"/>
                <w:color w:val="000000"/>
                <w:sz w:val="16"/>
                <w:szCs w:val="16"/>
              </w:rPr>
              <w:t xml:space="preserve"> Ethernet, com protocolo TCP/IP – LAN 10/100);</w:t>
            </w:r>
          </w:p>
          <w:p w14:paraId="1A44E6E3" w14:textId="77777777" w:rsidR="005638D1" w:rsidRDefault="005638D1" w:rsidP="005638D1">
            <w:pPr>
              <w:pStyle w:val="PargrafodaLista"/>
              <w:numPr>
                <w:ilvl w:val="0"/>
                <w:numId w:val="14"/>
              </w:numPr>
              <w:rPr>
                <w:rFonts w:ascii="Arial" w:eastAsia="Times New Roman" w:hAnsi="Arial" w:cs="Arial"/>
                <w:color w:val="000000"/>
                <w:sz w:val="16"/>
                <w:szCs w:val="16"/>
              </w:rPr>
            </w:pPr>
            <w:r>
              <w:rPr>
                <w:rFonts w:ascii="Arial" w:eastAsia="Times New Roman" w:hAnsi="Arial" w:cs="Arial"/>
                <w:color w:val="000000"/>
                <w:sz w:val="16"/>
                <w:szCs w:val="16"/>
              </w:rPr>
              <w:t>Conectividade DICOM 3.0 (hardware e software) disponível e ativado;</w:t>
            </w:r>
          </w:p>
          <w:p w14:paraId="2307859D" w14:textId="4B6D3942" w:rsidR="005638D1" w:rsidRPr="005638D1" w:rsidRDefault="005638D1" w:rsidP="005638D1">
            <w:pPr>
              <w:pStyle w:val="PargrafodaLista"/>
              <w:numPr>
                <w:ilvl w:val="0"/>
                <w:numId w:val="14"/>
              </w:numPr>
              <w:rPr>
                <w:rFonts w:ascii="Arial" w:eastAsia="Times New Roman" w:hAnsi="Arial" w:cs="Arial"/>
                <w:color w:val="000000"/>
                <w:sz w:val="16"/>
                <w:szCs w:val="16"/>
              </w:rPr>
            </w:pPr>
            <w:r>
              <w:rPr>
                <w:rFonts w:ascii="Arial" w:eastAsia="Times New Roman" w:hAnsi="Arial" w:cs="Arial"/>
                <w:color w:val="000000"/>
                <w:sz w:val="16"/>
                <w:szCs w:val="16"/>
              </w:rPr>
              <w:t xml:space="preserve">04 portas USB disponíveis, para conexão de </w:t>
            </w:r>
            <w:proofErr w:type="spellStart"/>
            <w:r>
              <w:rPr>
                <w:rFonts w:ascii="Arial" w:eastAsia="Times New Roman" w:hAnsi="Arial" w:cs="Arial"/>
                <w:color w:val="000000"/>
                <w:sz w:val="16"/>
                <w:szCs w:val="16"/>
              </w:rPr>
              <w:t>dipositivos</w:t>
            </w:r>
            <w:proofErr w:type="spellEnd"/>
            <w:r>
              <w:rPr>
                <w:rFonts w:ascii="Arial" w:eastAsia="Times New Roman" w:hAnsi="Arial" w:cs="Arial"/>
                <w:color w:val="000000"/>
                <w:sz w:val="16"/>
                <w:szCs w:val="16"/>
              </w:rPr>
              <w:t xml:space="preserve"> externos de armazenamento (disco rígido ou memória); acompanha gravador de CD/DVD embutido (de fábrica), Transferência</w:t>
            </w:r>
            <w:r w:rsidR="00BD074A">
              <w:rPr>
                <w:rFonts w:ascii="Arial" w:eastAsia="Times New Roman" w:hAnsi="Arial" w:cs="Arial"/>
                <w:color w:val="000000"/>
                <w:sz w:val="16"/>
                <w:szCs w:val="16"/>
              </w:rPr>
              <w:t xml:space="preserve"> digital das imagens/clipes via USB, Rede Ethernet; Conexão Ativa para 04 transdutores conectados simultaneamente e selecionáveis via teclado; permite a troca de transdutores sem a necessidade de desligar o equipamento; Disponibiliza atualizações futuras de software sem necessidade de atualização de hardware para outras funções: possibilidade futura de aquisição de guia reutilizável de biópsia; GEHC Brasil. Transdutores Eletrônicos </w:t>
            </w:r>
            <w:proofErr w:type="spellStart"/>
            <w:r w:rsidR="00BD074A">
              <w:rPr>
                <w:rFonts w:ascii="Arial" w:eastAsia="Times New Roman" w:hAnsi="Arial" w:cs="Arial"/>
                <w:color w:val="000000"/>
                <w:sz w:val="16"/>
                <w:szCs w:val="16"/>
              </w:rPr>
              <w:t>multifrequências</w:t>
            </w:r>
            <w:proofErr w:type="spellEnd"/>
            <w:r w:rsidR="00BD074A">
              <w:rPr>
                <w:rFonts w:ascii="Arial" w:eastAsia="Times New Roman" w:hAnsi="Arial" w:cs="Arial"/>
                <w:color w:val="000000"/>
                <w:sz w:val="16"/>
                <w:szCs w:val="16"/>
              </w:rPr>
              <w:t xml:space="preserve"> de banda larga, com possibilidade </w:t>
            </w:r>
            <w:r w:rsidR="00E4367D">
              <w:rPr>
                <w:rFonts w:ascii="Arial" w:eastAsia="Times New Roman" w:hAnsi="Arial" w:cs="Arial"/>
                <w:color w:val="000000"/>
                <w:sz w:val="16"/>
                <w:szCs w:val="16"/>
              </w:rPr>
              <w:t>de assepsia, a fim de prevenção e controle de infecção hospitalar</w:t>
            </w:r>
            <w:r w:rsidR="0066274F">
              <w:rPr>
                <w:rFonts w:ascii="Arial" w:eastAsia="Times New Roman" w:hAnsi="Arial" w:cs="Arial"/>
                <w:color w:val="000000"/>
                <w:sz w:val="16"/>
                <w:szCs w:val="16"/>
              </w:rPr>
              <w:t xml:space="preserve">. Com Frequências intermediárias selecionáveis com as frequências especificadas abaixo permitindo variação de 1 MHz para cima ou para baixo. 01 unidade transdutor </w:t>
            </w:r>
            <w:proofErr w:type="spellStart"/>
            <w:r w:rsidR="0066274F">
              <w:rPr>
                <w:rFonts w:ascii="Arial" w:eastAsia="Times New Roman" w:hAnsi="Arial" w:cs="Arial"/>
                <w:color w:val="000000"/>
                <w:sz w:val="16"/>
                <w:szCs w:val="16"/>
              </w:rPr>
              <w:t>endocavitário</w:t>
            </w:r>
            <w:proofErr w:type="spellEnd"/>
            <w:r w:rsidR="0066274F">
              <w:rPr>
                <w:rFonts w:ascii="Arial" w:eastAsia="Times New Roman" w:hAnsi="Arial" w:cs="Arial"/>
                <w:color w:val="000000"/>
                <w:sz w:val="16"/>
                <w:szCs w:val="16"/>
              </w:rPr>
              <w:t xml:space="preserve"> com frequências de 04 a 10 MHz com 128 elementos de cristais </w:t>
            </w:r>
            <w:proofErr w:type="spellStart"/>
            <w:r w:rsidR="0066274F">
              <w:rPr>
                <w:rFonts w:ascii="Arial" w:eastAsia="Times New Roman" w:hAnsi="Arial" w:cs="Arial"/>
                <w:color w:val="000000"/>
                <w:sz w:val="16"/>
                <w:szCs w:val="16"/>
              </w:rPr>
              <w:t>piezoelétricos</w:t>
            </w:r>
            <w:proofErr w:type="spellEnd"/>
            <w:r w:rsidR="0066274F">
              <w:rPr>
                <w:rFonts w:ascii="Arial" w:eastAsia="Times New Roman" w:hAnsi="Arial" w:cs="Arial"/>
                <w:color w:val="000000"/>
                <w:sz w:val="16"/>
                <w:szCs w:val="16"/>
              </w:rPr>
              <w:t xml:space="preserve"> e campo de visão de abertura de 168 graus. 01 </w:t>
            </w:r>
            <w:proofErr w:type="gramStart"/>
            <w:r w:rsidR="0066274F">
              <w:rPr>
                <w:rFonts w:ascii="Arial" w:eastAsia="Times New Roman" w:hAnsi="Arial" w:cs="Arial"/>
                <w:color w:val="000000"/>
                <w:sz w:val="16"/>
                <w:szCs w:val="16"/>
              </w:rPr>
              <w:t xml:space="preserve">unidade </w:t>
            </w:r>
            <w:r w:rsidR="006424D3">
              <w:rPr>
                <w:rFonts w:ascii="Arial" w:eastAsia="Times New Roman" w:hAnsi="Arial" w:cs="Arial"/>
                <w:color w:val="000000"/>
                <w:sz w:val="16"/>
                <w:szCs w:val="16"/>
              </w:rPr>
              <w:t xml:space="preserve"> Transdutor</w:t>
            </w:r>
            <w:proofErr w:type="gramEnd"/>
            <w:r w:rsidR="006424D3">
              <w:rPr>
                <w:rFonts w:ascii="Arial" w:eastAsia="Times New Roman" w:hAnsi="Arial" w:cs="Arial"/>
                <w:color w:val="000000"/>
                <w:sz w:val="16"/>
                <w:szCs w:val="16"/>
              </w:rPr>
              <w:t xml:space="preserve"> Setorial adulto com frequência de 1.7 a 4 </w:t>
            </w:r>
            <w:proofErr w:type="spellStart"/>
            <w:r w:rsidR="006424D3">
              <w:rPr>
                <w:rFonts w:ascii="Arial" w:eastAsia="Times New Roman" w:hAnsi="Arial" w:cs="Arial"/>
                <w:color w:val="000000"/>
                <w:sz w:val="16"/>
                <w:szCs w:val="16"/>
              </w:rPr>
              <w:t>Mhz</w:t>
            </w:r>
            <w:proofErr w:type="spellEnd"/>
            <w:r w:rsidR="006424D3">
              <w:rPr>
                <w:rFonts w:ascii="Arial" w:eastAsia="Times New Roman" w:hAnsi="Arial" w:cs="Arial"/>
                <w:color w:val="000000"/>
                <w:sz w:val="16"/>
                <w:szCs w:val="16"/>
              </w:rPr>
              <w:t xml:space="preserve"> com 64 elementos de cristais </w:t>
            </w:r>
            <w:proofErr w:type="spellStart"/>
            <w:r w:rsidR="006424D3">
              <w:rPr>
                <w:rFonts w:ascii="Arial" w:eastAsia="Times New Roman" w:hAnsi="Arial" w:cs="Arial"/>
                <w:color w:val="000000"/>
                <w:sz w:val="16"/>
                <w:szCs w:val="16"/>
              </w:rPr>
              <w:t>piezoelétricos</w:t>
            </w:r>
            <w:proofErr w:type="spellEnd"/>
            <w:r w:rsidR="006424D3">
              <w:rPr>
                <w:rFonts w:ascii="Arial" w:eastAsia="Times New Roman" w:hAnsi="Arial" w:cs="Arial"/>
                <w:color w:val="000000"/>
                <w:sz w:val="16"/>
                <w:szCs w:val="16"/>
              </w:rPr>
              <w:t xml:space="preserve"> e campo de visão de 120 graus. Manual do Usuário em português. Nobreak compatível c/ o equipamento. Impressora Colorida a laser incluindo Treinamento e Instalação.</w:t>
            </w:r>
          </w:p>
        </w:tc>
        <w:tc>
          <w:tcPr>
            <w:tcW w:w="580" w:type="dxa"/>
            <w:tcBorders>
              <w:top w:val="nil"/>
              <w:left w:val="nil"/>
              <w:bottom w:val="single" w:sz="4" w:space="0" w:color="auto"/>
              <w:right w:val="single" w:sz="4" w:space="0" w:color="auto"/>
            </w:tcBorders>
            <w:shd w:val="clear" w:color="auto" w:fill="auto"/>
            <w:noWrap/>
            <w:vAlign w:val="bottom"/>
            <w:hideMark/>
          </w:tcPr>
          <w:p w14:paraId="729DA59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lastRenderedPageBreak/>
              <w:t>UN</w:t>
            </w:r>
          </w:p>
        </w:tc>
        <w:tc>
          <w:tcPr>
            <w:tcW w:w="480" w:type="dxa"/>
            <w:tcBorders>
              <w:top w:val="nil"/>
              <w:left w:val="nil"/>
              <w:bottom w:val="single" w:sz="4" w:space="0" w:color="auto"/>
              <w:right w:val="single" w:sz="4" w:space="0" w:color="auto"/>
            </w:tcBorders>
            <w:shd w:val="clear" w:color="auto" w:fill="auto"/>
            <w:noWrap/>
            <w:vAlign w:val="bottom"/>
            <w:hideMark/>
          </w:tcPr>
          <w:p w14:paraId="24E64542" w14:textId="7B02303C" w:rsidR="00482152" w:rsidRPr="00482152" w:rsidRDefault="006424D3" w:rsidP="00482152">
            <w:pPr>
              <w:jc w:val="right"/>
              <w:rPr>
                <w:rFonts w:ascii="Arial" w:eastAsia="Times New Roman" w:hAnsi="Arial" w:cs="Arial"/>
                <w:color w:val="000000"/>
                <w:sz w:val="16"/>
                <w:szCs w:val="16"/>
              </w:rPr>
            </w:pPr>
            <w:r>
              <w:rPr>
                <w:rFonts w:ascii="Arial" w:eastAsia="Times New Roman" w:hAnsi="Arial" w:cs="Arial"/>
                <w:color w:val="000000"/>
                <w:sz w:val="16"/>
                <w:szCs w:val="16"/>
              </w:rPr>
              <w:t>01</w:t>
            </w:r>
          </w:p>
        </w:tc>
        <w:tc>
          <w:tcPr>
            <w:tcW w:w="840" w:type="dxa"/>
            <w:tcBorders>
              <w:top w:val="nil"/>
              <w:left w:val="nil"/>
              <w:bottom w:val="single" w:sz="4" w:space="0" w:color="auto"/>
              <w:right w:val="single" w:sz="4" w:space="0" w:color="auto"/>
            </w:tcBorders>
            <w:shd w:val="clear" w:color="auto" w:fill="auto"/>
            <w:noWrap/>
            <w:vAlign w:val="bottom"/>
            <w:hideMark/>
          </w:tcPr>
          <w:p w14:paraId="30FBBFD5" w14:textId="5C398D9C"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R$ </w:t>
            </w:r>
            <w:r w:rsidR="006424D3">
              <w:rPr>
                <w:rFonts w:ascii="Arial" w:eastAsia="Times New Roman" w:hAnsi="Arial" w:cs="Arial"/>
                <w:color w:val="000000"/>
                <w:sz w:val="16"/>
                <w:szCs w:val="16"/>
              </w:rPr>
              <w:t>153.100,00</w:t>
            </w:r>
          </w:p>
        </w:tc>
        <w:tc>
          <w:tcPr>
            <w:tcW w:w="1460" w:type="dxa"/>
            <w:tcBorders>
              <w:top w:val="nil"/>
              <w:left w:val="nil"/>
              <w:bottom w:val="single" w:sz="4" w:space="0" w:color="auto"/>
              <w:right w:val="single" w:sz="4" w:space="0" w:color="auto"/>
            </w:tcBorders>
            <w:shd w:val="clear" w:color="auto" w:fill="auto"/>
            <w:noWrap/>
            <w:vAlign w:val="bottom"/>
            <w:hideMark/>
          </w:tcPr>
          <w:p w14:paraId="44FB1376" w14:textId="3D54D5C1"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R$ </w:t>
            </w:r>
            <w:r w:rsidR="006424D3">
              <w:rPr>
                <w:rFonts w:ascii="Arial" w:eastAsia="Times New Roman" w:hAnsi="Arial" w:cs="Arial"/>
                <w:color w:val="000000"/>
                <w:sz w:val="16"/>
                <w:szCs w:val="16"/>
              </w:rPr>
              <w:t>153.100,00</w:t>
            </w:r>
          </w:p>
        </w:tc>
      </w:tr>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p>
    <w:sectPr w:rsidR="007A455D" w:rsidRPr="006E1990" w:rsidSect="00231D35">
      <w:headerReference w:type="even" r:id="rId51"/>
      <w:headerReference w:type="default" r:id="rId52"/>
      <w:footerReference w:type="even" r:id="rId53"/>
      <w:footerReference w:type="default" r:id="rId54"/>
      <w:headerReference w:type="first" r:id="rId55"/>
      <w:footerReference w:type="first" r:id="rId5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B9E31" w14:textId="77777777" w:rsidR="00E125DD" w:rsidRDefault="00E125DD">
      <w:r>
        <w:separator/>
      </w:r>
    </w:p>
  </w:endnote>
  <w:endnote w:type="continuationSeparator" w:id="0">
    <w:p w14:paraId="30DD64A7" w14:textId="77777777" w:rsidR="00E125DD" w:rsidRDefault="00E125DD">
      <w:r>
        <w:continuationSeparator/>
      </w:r>
    </w:p>
  </w:endnote>
  <w:endnote w:type="continuationNotice" w:id="1">
    <w:p w14:paraId="7F15C715" w14:textId="77777777" w:rsidR="00E125DD" w:rsidRDefault="00E12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7BBA" w14:textId="0A847300" w:rsidR="00401264" w:rsidRDefault="0040126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7E69F9C1" w14:textId="1F20BA26" w:rsidR="00401264" w:rsidRDefault="00401264" w:rsidP="00FA4F45">
        <w:pPr>
          <w:pStyle w:val="Rodap"/>
          <w:rPr>
            <w:color w:val="548DD4" w:themeColor="text2" w:themeTint="99"/>
            <w:spacing w:val="60"/>
            <w:sz w:val="22"/>
            <w:szCs w:val="22"/>
          </w:rPr>
        </w:pPr>
        <w:r w:rsidRPr="00FA4F45">
          <w:rPr>
            <w:color w:val="548DD4" w:themeColor="text2" w:themeTint="99"/>
            <w:spacing w:val="60"/>
            <w:sz w:val="22"/>
            <w:szCs w:val="22"/>
          </w:rPr>
          <w:t xml:space="preserve">Largo do Mineiro, 135 – Centro CEP: 96740-000 </w:t>
        </w:r>
      </w:p>
      <w:p w14:paraId="3AC7C829" w14:textId="7781F0E0" w:rsidR="00401264" w:rsidRPr="00FA4F45" w:rsidRDefault="00401264" w:rsidP="00FA4F45">
        <w:pPr>
          <w:pStyle w:val="Rodap"/>
          <w:rPr>
            <w:color w:val="548DD4" w:themeColor="text2" w:themeTint="99"/>
            <w:spacing w:val="60"/>
            <w:sz w:val="22"/>
            <w:szCs w:val="22"/>
          </w:rPr>
        </w:pPr>
        <w:r w:rsidRPr="00FA4F45">
          <w:rPr>
            <w:color w:val="548DD4" w:themeColor="text2" w:themeTint="99"/>
            <w:spacing w:val="60"/>
            <w:sz w:val="22"/>
            <w:szCs w:val="22"/>
          </w:rPr>
          <w:t>C.N.P.J.: 88.363.072/0001-44</w:t>
        </w:r>
      </w:p>
      <w:p w14:paraId="7E6308F2" w14:textId="48905523" w:rsidR="00401264" w:rsidRPr="00B9651D" w:rsidRDefault="00401264" w:rsidP="00225EC5">
        <w:pPr>
          <w:pStyle w:val="Rodap"/>
          <w:rPr>
            <w:rFonts w:ascii="Arial" w:hAnsi="Arial" w:cs="Arial"/>
            <w:sz w:val="14"/>
            <w:szCs w:val="14"/>
          </w:rPr>
        </w:pPr>
        <w:r w:rsidRPr="00FA4F45">
          <w:rPr>
            <w:color w:val="548DD4" w:themeColor="text2" w:themeTint="99"/>
            <w:spacing w:val="60"/>
            <w:sz w:val="22"/>
            <w:szCs w:val="22"/>
          </w:rPr>
          <w:t>Fone: (51)3656 -1029 Fone/Fax: 3656 -1441 – Visite nosso site: www.arroiodosratos.rs.gov.br</w:t>
        </w:r>
      </w:p>
      <w:bookmarkStart w:id="64" w:name="_Hlk135299703" w:displacedByCustomXml="next"/>
    </w:sdtContent>
  </w:sdt>
  <w:bookmarkEnd w:id="64"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9528" w14:textId="70AA7BB8" w:rsidR="00401264" w:rsidRDefault="0040126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047E5" w14:textId="77777777" w:rsidR="00E125DD" w:rsidRDefault="00E125DD">
      <w:r>
        <w:separator/>
      </w:r>
    </w:p>
  </w:footnote>
  <w:footnote w:type="continuationSeparator" w:id="0">
    <w:p w14:paraId="56A3AD20" w14:textId="77777777" w:rsidR="00E125DD" w:rsidRDefault="00E125DD">
      <w:r>
        <w:continuationSeparator/>
      </w:r>
    </w:p>
  </w:footnote>
  <w:footnote w:type="continuationNotice" w:id="1">
    <w:p w14:paraId="0127370D" w14:textId="77777777" w:rsidR="00E125DD" w:rsidRDefault="00E12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B3A3" w14:textId="26EDDC71" w:rsidR="00401264" w:rsidRDefault="0040126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401264" w:rsidRPr="00C6099A" w:rsidRDefault="00401264"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401264" w:rsidRPr="00FA4F45" w:rsidRDefault="00401264"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401264" w:rsidRPr="00FA4F45" w:rsidRDefault="00401264"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401264" w:rsidRPr="00FA4F45" w:rsidRDefault="00401264"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401264" w:rsidRDefault="00401264" w:rsidP="00FA4F45">
                            <w:pPr>
                              <w:rPr>
                                <w:rFonts w:ascii="Arial" w:hAnsi="Arial" w:cs="Arial"/>
                                <w:sz w:val="32"/>
                                <w:szCs w:val="32"/>
                              </w:rPr>
                            </w:pPr>
                          </w:p>
                          <w:p w14:paraId="4A3C3C70" w14:textId="77777777" w:rsidR="00401264" w:rsidRPr="001071A5" w:rsidRDefault="00401264" w:rsidP="00FA4F45">
                            <w:pPr>
                              <w:rPr>
                                <w:rFonts w:ascii="Arial" w:hAnsi="Arial" w:cs="Arial"/>
                                <w:sz w:val="28"/>
                                <w:szCs w:val="28"/>
                              </w:rPr>
                            </w:pPr>
                          </w:p>
                          <w:p w14:paraId="03E764CA" w14:textId="77777777" w:rsidR="00401264" w:rsidRDefault="00401264"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EC566E" w:rsidRPr="00FA4F45" w:rsidRDefault="00EC566E"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EC566E" w:rsidRPr="00FA4F45" w:rsidRDefault="00EC566E"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EC566E" w:rsidRPr="00FA4F45" w:rsidRDefault="00EC566E"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EC566E" w:rsidRDefault="00EC566E" w:rsidP="00FA4F45">
                      <w:pPr>
                        <w:rPr>
                          <w:rFonts w:ascii="Arial" w:hAnsi="Arial" w:cs="Arial"/>
                          <w:sz w:val="32"/>
                          <w:szCs w:val="32"/>
                        </w:rPr>
                      </w:pPr>
                    </w:p>
                    <w:p w14:paraId="4A3C3C70" w14:textId="77777777" w:rsidR="00EC566E" w:rsidRPr="001071A5" w:rsidRDefault="00EC566E" w:rsidP="00FA4F45">
                      <w:pPr>
                        <w:rPr>
                          <w:rFonts w:ascii="Arial" w:hAnsi="Arial" w:cs="Arial"/>
                          <w:sz w:val="28"/>
                          <w:szCs w:val="28"/>
                        </w:rPr>
                      </w:pPr>
                    </w:p>
                    <w:p w14:paraId="03E764CA" w14:textId="77777777" w:rsidR="00EC566E" w:rsidRDefault="00EC566E" w:rsidP="00FA4F45"/>
                  </w:txbxContent>
                </v:textbox>
              </v:shape>
            </v:group>
          </w:pict>
        </mc:Fallback>
      </mc:AlternateContent>
    </w:r>
  </w:p>
  <w:p w14:paraId="789021E0" w14:textId="77777777" w:rsidR="00401264" w:rsidRDefault="00401264" w:rsidP="00FA4F45">
    <w:pPr>
      <w:pStyle w:val="Cabealho"/>
    </w:pPr>
  </w:p>
  <w:p w14:paraId="4C707DF1" w14:textId="77777777" w:rsidR="00401264" w:rsidRDefault="00401264" w:rsidP="00FA4F45">
    <w:pPr>
      <w:pStyle w:val="Cabealho"/>
    </w:pPr>
  </w:p>
  <w:p w14:paraId="129C723A" w14:textId="77777777" w:rsidR="00401264" w:rsidRDefault="00401264" w:rsidP="00FA4F45">
    <w:pPr>
      <w:pStyle w:val="Cabealho"/>
    </w:pPr>
  </w:p>
  <w:p w14:paraId="36411352" w14:textId="77777777" w:rsidR="00401264" w:rsidRDefault="00401264"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401264" w:rsidRPr="00C6099A" w:rsidRDefault="00401264"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401264" w:rsidRPr="00FA4F45" w:rsidRDefault="00401264"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401264" w:rsidRPr="00FA4F45" w:rsidRDefault="00401264"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401264" w:rsidRPr="00FA4F45" w:rsidRDefault="00401264"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401264" w:rsidRDefault="00401264" w:rsidP="00335555">
                            <w:pPr>
                              <w:rPr>
                                <w:rFonts w:ascii="Arial" w:hAnsi="Arial" w:cs="Arial"/>
                                <w:sz w:val="32"/>
                                <w:szCs w:val="32"/>
                              </w:rPr>
                            </w:pPr>
                          </w:p>
                          <w:p w14:paraId="316F14EF" w14:textId="77777777" w:rsidR="00401264" w:rsidRPr="001071A5" w:rsidRDefault="00401264" w:rsidP="00335555">
                            <w:pPr>
                              <w:rPr>
                                <w:rFonts w:ascii="Arial" w:hAnsi="Arial" w:cs="Arial"/>
                                <w:sz w:val="28"/>
                                <w:szCs w:val="28"/>
                              </w:rPr>
                            </w:pPr>
                          </w:p>
                          <w:p w14:paraId="0D82DCD5" w14:textId="77777777" w:rsidR="00401264" w:rsidRDefault="00401264"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EC566E" w:rsidRPr="00FA4F45" w:rsidRDefault="00EC566E"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EC566E" w:rsidRPr="00FA4F45" w:rsidRDefault="00EC566E"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EC566E" w:rsidRPr="00FA4F45" w:rsidRDefault="00EC566E"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EC566E" w:rsidRDefault="00EC566E" w:rsidP="00335555">
                      <w:pPr>
                        <w:rPr>
                          <w:rFonts w:ascii="Arial" w:hAnsi="Arial" w:cs="Arial"/>
                          <w:sz w:val="32"/>
                          <w:szCs w:val="32"/>
                        </w:rPr>
                      </w:pPr>
                    </w:p>
                    <w:p w14:paraId="316F14EF" w14:textId="77777777" w:rsidR="00EC566E" w:rsidRPr="001071A5" w:rsidRDefault="00EC566E" w:rsidP="00335555">
                      <w:pPr>
                        <w:rPr>
                          <w:rFonts w:ascii="Arial" w:hAnsi="Arial" w:cs="Arial"/>
                          <w:sz w:val="28"/>
                          <w:szCs w:val="28"/>
                        </w:rPr>
                      </w:pPr>
                    </w:p>
                    <w:p w14:paraId="0D82DCD5" w14:textId="77777777" w:rsidR="00EC566E" w:rsidRDefault="00EC566E" w:rsidP="00335555"/>
                  </w:txbxContent>
                </v:textbox>
              </v:shape>
            </v:group>
          </w:pict>
        </mc:Fallback>
      </mc:AlternateContent>
    </w:r>
  </w:p>
  <w:p w14:paraId="6B0447D1" w14:textId="313CF745" w:rsidR="00401264" w:rsidRDefault="00401264">
    <w:pPr>
      <w:pStyle w:val="Cabealho"/>
    </w:pPr>
  </w:p>
  <w:p w14:paraId="0AE6D3C8" w14:textId="54575E98" w:rsidR="00401264" w:rsidRDefault="00401264">
    <w:pPr>
      <w:pStyle w:val="Cabealho"/>
    </w:pPr>
  </w:p>
  <w:p w14:paraId="36D4DD3D" w14:textId="77777777" w:rsidR="00401264" w:rsidRDefault="004012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D24578"/>
    <w:multiLevelType w:val="hybridMultilevel"/>
    <w:tmpl w:val="030AF4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15:restartNumberingAfterBreak="0">
    <w:nsid w:val="76B01533"/>
    <w:multiLevelType w:val="hybridMultilevel"/>
    <w:tmpl w:val="F1D4DC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9"/>
  </w:num>
  <w:num w:numId="4">
    <w:abstractNumId w:val="11"/>
  </w:num>
  <w:num w:numId="5">
    <w:abstractNumId w:val="5"/>
  </w:num>
  <w:num w:numId="6">
    <w:abstractNumId w:val="3"/>
  </w:num>
  <w:num w:numId="7">
    <w:abstractNumId w:val="6"/>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9"/>
    </w:lvlOverride>
    <w:lvlOverride w:ilvl="1">
      <w:startOverride w:val="2"/>
    </w:lvlOverride>
    <w:lvlOverride w:ilvl="2">
      <w:startOverride w:val="1"/>
    </w:lvlOverride>
  </w:num>
  <w:num w:numId="11">
    <w:abstractNumId w:val="7"/>
  </w:num>
  <w:num w:numId="12">
    <w:abstractNumId w:val="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7C9"/>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529"/>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5A6"/>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37959"/>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4D1"/>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3E66"/>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1F1C"/>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A6B"/>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264"/>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6E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52"/>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872"/>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38D1"/>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4D3"/>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274F"/>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4E9B"/>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BF7"/>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6D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4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55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74A"/>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FC8"/>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0F2"/>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5DD"/>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367D"/>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B2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66E"/>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 w:type="paragraph" w:customStyle="1" w:styleId="msonormal0">
    <w:name w:val="msonormal"/>
    <w:basedOn w:val="Normal"/>
    <w:rsid w:val="00482152"/>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482152"/>
    <w:pPr>
      <w:spacing w:before="100" w:beforeAutospacing="1" w:after="100" w:afterAutospacing="1"/>
    </w:pPr>
    <w:rPr>
      <w:rFonts w:ascii="Arial" w:eastAsia="Times New Roman" w:hAnsi="Arial" w:cs="Arial"/>
      <w:sz w:val="16"/>
      <w:szCs w:val="16"/>
    </w:rPr>
  </w:style>
  <w:style w:type="paragraph" w:customStyle="1" w:styleId="xl66">
    <w:name w:val="xl66"/>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67">
    <w:name w:val="xl67"/>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68">
    <w:name w:val="xl68"/>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rPr>
  </w:style>
  <w:style w:type="paragraph" w:customStyle="1" w:styleId="xl69">
    <w:name w:val="xl69"/>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0">
    <w:name w:val="xl70"/>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1">
    <w:name w:val="xl71"/>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2">
    <w:name w:val="xl72"/>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3">
    <w:name w:val="xl73"/>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 w:type="paragraph" w:customStyle="1" w:styleId="xl74">
    <w:name w:val="xl74"/>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039186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1225941E-E4AC-44A7-9BB7-5A0E60AA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11283</Words>
  <Characters>60934</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2024-04-11T16:58:00Z</dcterms:created>
  <dcterms:modified xsi:type="dcterms:W3CDTF">2024-04-11T16:58:00Z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